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2E81C">
      <w:pPr>
        <w:pStyle w:val="11"/>
        <w:ind w:firstLine="420" w:firstLineChars="50"/>
        <w:jc w:val="right"/>
        <w:rPr>
          <w:rFonts w:cs="新宋体-18030" w:asciiTheme="minorEastAsia" w:hAnsiTheme="minorEastAsia" w:eastAsiaTheme="minorEastAsia"/>
          <w:sz w:val="84"/>
          <w:szCs w:val="84"/>
        </w:rPr>
      </w:pPr>
      <w:r>
        <w:rPr>
          <w:rFonts w:cs="新宋体-18030" w:asciiTheme="minorEastAsia" w:hAnsiTheme="minorEastAsia" w:eastAsiaTheme="minorEastAsia"/>
          <w:sz w:val="84"/>
          <w:szCs w:val="84"/>
        </w:rPr>
        <w:t>JJF</w:t>
      </w:r>
    </w:p>
    <w:p w14:paraId="2477AD2A">
      <w:pPr>
        <w:pStyle w:val="11"/>
        <w:rPr>
          <w:rFonts w:ascii="宋体" w:hAnsi="宋体" w:eastAsia="宋体"/>
          <w:sz w:val="52"/>
          <w:szCs w:val="52"/>
        </w:rPr>
      </w:pPr>
    </w:p>
    <w:p w14:paraId="1B32777C">
      <w:pPr>
        <w:pStyle w:val="11"/>
        <w:jc w:val="center"/>
        <w:rPr>
          <w:rFonts w:ascii="华文中宋" w:hAnsi="华文中宋" w:eastAsia="华文中宋" w:cs="Arial"/>
          <w:b/>
          <w:sz w:val="52"/>
          <w:szCs w:val="52"/>
        </w:rPr>
      </w:pPr>
      <w:r>
        <w:rPr>
          <w:rFonts w:hint="eastAsia" w:ascii="华文中宋" w:hAnsi="华文中宋" w:eastAsia="华文中宋" w:cs="Arial"/>
          <w:b/>
          <w:sz w:val="52"/>
          <w:szCs w:val="52"/>
        </w:rPr>
        <w:t>中华人民共和国国家计量技术规范</w:t>
      </w:r>
      <w:r>
        <w:rPr>
          <w:rFonts w:ascii="华文中宋" w:hAnsi="华文中宋" w:eastAsia="华文中宋" w:cs="Arial"/>
          <w:b/>
          <w:sz w:val="52"/>
          <w:szCs w:val="52"/>
        </w:rPr>
        <w:t xml:space="preserve"> </w:t>
      </w:r>
    </w:p>
    <w:p w14:paraId="0EAB1069"/>
    <w:p w14:paraId="3A29EE3F">
      <w:pPr>
        <w:tabs>
          <w:tab w:val="left" w:pos="6390"/>
        </w:tabs>
        <w:ind w:firstLine="5529" w:firstLineChars="1967"/>
        <w:jc w:val="right"/>
        <w:rPr>
          <w:rFonts w:ascii="黑体" w:hAnsi="黑体" w:eastAsia="黑体" w:cs="Arial"/>
          <w:b/>
        </w:rPr>
      </w:pPr>
      <w:r>
        <w:rPr>
          <w:rFonts w:ascii="黑体" w:hAnsi="黑体" w:eastAsia="黑体"/>
          <w:b/>
          <w:sz w:val="28"/>
          <w:szCs w:val="28"/>
        </w:rPr>
        <w:t>JJF</w:t>
      </w:r>
      <w:r>
        <w:rPr>
          <w:rFonts w:hint="eastAsia" w:ascii="黑体" w:hAnsi="黑体" w:eastAsia="黑体"/>
          <w:b/>
          <w:sz w:val="28"/>
          <w:szCs w:val="28"/>
        </w:rPr>
        <w:t xml:space="preserve"> </w:t>
      </w:r>
      <w:r>
        <w:rPr>
          <w:rFonts w:ascii="黑体" w:hAnsi="黑体" w:eastAsia="黑体" w:cs="Arial"/>
          <w:b/>
          <w:sz w:val="28"/>
          <w:szCs w:val="28"/>
        </w:rPr>
        <w:t>××××-××××</w:t>
      </w:r>
    </w:p>
    <w:p w14:paraId="42A181AE"/>
    <w:p w14:paraId="23CE90AC">
      <w:r>
        <mc:AlternateContent>
          <mc:Choice Requires="wps">
            <w:drawing>
              <wp:anchor distT="0" distB="0" distL="114300" distR="114300" simplePos="0" relativeHeight="251661312" behindDoc="0" locked="0" layoutInCell="1" allowOverlap="1">
                <wp:simplePos x="0" y="0"/>
                <wp:positionH relativeFrom="column">
                  <wp:posOffset>-6985</wp:posOffset>
                </wp:positionH>
                <wp:positionV relativeFrom="paragraph">
                  <wp:posOffset>118745</wp:posOffset>
                </wp:positionV>
                <wp:extent cx="5707380" cy="0"/>
                <wp:effectExtent l="0" t="6350" r="0" b="6350"/>
                <wp:wrapNone/>
                <wp:docPr id="29" name="Line 2"/>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55pt;margin-top:9.35pt;height:0pt;width:449.4pt;z-index:251661312;mso-width-relative:page;mso-height-relative:page;" filled="f" stroked="t" coordsize="21600,21600" o:gfxdata="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cBqPFNYAAAAIAQAADwAAAAAAAAABACAAAAAiAAAAZHJzL2Rv&#10;d25yZXYueG1sUEsBAhQAFAAAAAgAh07iQEc+pHPKAQAAoQMAAA4AAAAAAAAAAQAgAAAAJQEAAGRy&#10;cy9lMm9Eb2MueG1sUEsFBgAAAAAGAAYAWQEAAGEFAAAAAA==&#10;">
                <v:fill on="f" focussize="0,0"/>
                <v:stroke weight="1pt" color="#000000" joinstyle="round"/>
                <v:imagedata o:title=""/>
                <o:lock v:ext="edit" aspectratio="f"/>
              </v:line>
            </w:pict>
          </mc:Fallback>
        </mc:AlternateContent>
      </w:r>
    </w:p>
    <w:p w14:paraId="0221A624"/>
    <w:p w14:paraId="7A31AEC6"/>
    <w:p w14:paraId="125EE28E"/>
    <w:p w14:paraId="2BF7FFDD"/>
    <w:p w14:paraId="5927FCF5"/>
    <w:p w14:paraId="42351A30"/>
    <w:p w14:paraId="59BBF642"/>
    <w:p w14:paraId="28E86853"/>
    <w:p w14:paraId="7C475F82">
      <w:pPr>
        <w:jc w:val="center"/>
        <w:rPr>
          <w:rFonts w:hint="eastAsia" w:eastAsia="黑体"/>
          <w:sz w:val="52"/>
          <w:szCs w:val="20"/>
        </w:rPr>
      </w:pPr>
      <w:bookmarkStart w:id="0" w:name="OLE_LINK1"/>
      <w:r>
        <w:rPr>
          <w:rFonts w:hint="eastAsia" w:eastAsia="黑体"/>
          <w:sz w:val="52"/>
          <w:szCs w:val="20"/>
        </w:rPr>
        <w:t>Mini显示屏空间光色特性</w:t>
      </w:r>
      <w:bookmarkEnd w:id="0"/>
      <w:r>
        <w:rPr>
          <w:rFonts w:hint="eastAsia" w:eastAsia="黑体"/>
          <w:sz w:val="52"/>
          <w:szCs w:val="20"/>
        </w:rPr>
        <w:t>校准规范</w:t>
      </w:r>
    </w:p>
    <w:p w14:paraId="1E9CB515">
      <w:pPr>
        <w:jc w:val="center"/>
        <w:rPr>
          <w:rFonts w:ascii="黑体" w:hAnsi="黑体" w:eastAsia="黑体"/>
          <w:b/>
          <w:sz w:val="28"/>
          <w:szCs w:val="28"/>
        </w:rPr>
      </w:pPr>
    </w:p>
    <w:p w14:paraId="67D98835">
      <w:pPr>
        <w:jc w:val="center"/>
        <w:rPr>
          <w:rFonts w:hint="default" w:ascii="黑体" w:hAnsi="黑体" w:eastAsia="黑体"/>
          <w:b/>
          <w:sz w:val="28"/>
          <w:szCs w:val="28"/>
          <w:lang w:val="en-US" w:eastAsia="zh-CN"/>
        </w:rPr>
      </w:pPr>
      <w:r>
        <w:rPr>
          <w:rFonts w:ascii="黑体" w:hAnsi="黑体" w:eastAsia="黑体"/>
          <w:b/>
          <w:sz w:val="28"/>
          <w:szCs w:val="28"/>
        </w:rPr>
        <w:t xml:space="preserve">Specification </w:t>
      </w:r>
      <w:r>
        <w:rPr>
          <w:rFonts w:hint="eastAsia" w:ascii="黑体" w:hAnsi="黑体" w:eastAsia="黑体"/>
          <w:b/>
          <w:sz w:val="28"/>
          <w:szCs w:val="28"/>
          <w:lang w:val="en-US" w:eastAsia="zh-CN"/>
        </w:rPr>
        <w:t xml:space="preserve">of </w:t>
      </w:r>
      <w:bookmarkStart w:id="1" w:name="OLE_LINK4"/>
      <w:r>
        <w:rPr>
          <w:rFonts w:hint="eastAsia" w:ascii="黑体" w:hAnsi="黑体" w:eastAsia="黑体"/>
          <w:b/>
          <w:sz w:val="28"/>
          <w:szCs w:val="28"/>
          <w:lang w:val="en-US" w:eastAsia="zh-CN"/>
        </w:rPr>
        <w:t xml:space="preserve">Spatial Luminance and Colour Characteristics </w:t>
      </w:r>
      <w:r>
        <w:rPr>
          <w:rFonts w:ascii="黑体" w:hAnsi="黑体" w:eastAsia="黑体"/>
          <w:b/>
          <w:sz w:val="28"/>
          <w:szCs w:val="28"/>
        </w:rPr>
        <w:t xml:space="preserve">Calibration </w:t>
      </w:r>
      <w:r>
        <w:rPr>
          <w:rFonts w:hint="eastAsia" w:ascii="黑体" w:hAnsi="黑体" w:eastAsia="黑体"/>
          <w:b/>
          <w:sz w:val="28"/>
          <w:szCs w:val="28"/>
          <w:lang w:val="en-US" w:eastAsia="zh-CN"/>
        </w:rPr>
        <w:t>for Mini LED Display</w:t>
      </w:r>
      <w:bookmarkEnd w:id="1"/>
      <w:r>
        <w:rPr>
          <w:rFonts w:hint="eastAsia" w:ascii="黑体" w:hAnsi="黑体" w:eastAsia="黑体"/>
          <w:b/>
          <w:sz w:val="28"/>
          <w:szCs w:val="28"/>
          <w:lang w:val="en-US" w:eastAsia="zh-CN"/>
        </w:rPr>
        <w:t>s</w:t>
      </w:r>
    </w:p>
    <w:p w14:paraId="34B83376">
      <w:pPr>
        <w:rPr>
          <w:rFonts w:ascii="黑体" w:hAnsi="黑体" w:eastAsia="黑体"/>
          <w:sz w:val="28"/>
          <w:szCs w:val="28"/>
        </w:rPr>
      </w:pPr>
    </w:p>
    <w:p w14:paraId="40D87B9F">
      <w:pPr>
        <w:rPr>
          <w:rFonts w:ascii="黑体" w:hAnsi="黑体" w:eastAsia="黑体"/>
          <w:sz w:val="28"/>
          <w:szCs w:val="28"/>
        </w:rPr>
      </w:pPr>
    </w:p>
    <w:p w14:paraId="02B4FB7B">
      <w:pPr>
        <w:jc w:val="center"/>
        <w:rPr>
          <w:rFonts w:hint="default" w:asciiTheme="minorEastAsia" w:hAnsiTheme="minorEastAsia" w:eastAsiaTheme="minorEastAsia"/>
          <w:b/>
          <w:szCs w:val="28"/>
          <w:lang w:val="en-US" w:eastAsia="zh-CN"/>
        </w:rPr>
      </w:pPr>
      <w:r>
        <w:rPr>
          <w:rFonts w:hint="eastAsia" w:asciiTheme="minorEastAsia" w:hAnsiTheme="minorEastAsia"/>
          <w:b/>
          <w:szCs w:val="28"/>
          <w:lang w:val="en-US" w:eastAsia="zh-CN"/>
        </w:rPr>
        <w:t>草稿</w:t>
      </w:r>
    </w:p>
    <w:p w14:paraId="4DC2BF06">
      <w:pPr>
        <w:jc w:val="center"/>
        <w:rPr>
          <w:rFonts w:asciiTheme="minorEastAsia" w:hAnsiTheme="minorEastAsia"/>
          <w:b/>
          <w:szCs w:val="28"/>
        </w:rPr>
      </w:pPr>
      <w:r>
        <w:rPr>
          <w:rFonts w:hint="eastAsia" w:asciiTheme="minorEastAsia" w:hAnsiTheme="minorEastAsia"/>
          <w:b/>
          <w:szCs w:val="28"/>
        </w:rPr>
        <w:t>（20</w:t>
      </w:r>
      <w:r>
        <w:rPr>
          <w:rFonts w:asciiTheme="minorEastAsia" w:hAnsiTheme="minorEastAsia"/>
          <w:b/>
          <w:szCs w:val="28"/>
        </w:rPr>
        <w:t>2</w:t>
      </w:r>
      <w:r>
        <w:rPr>
          <w:rFonts w:hint="eastAsia" w:asciiTheme="minorEastAsia" w:hAnsiTheme="minorEastAsia"/>
          <w:b/>
          <w:szCs w:val="28"/>
          <w:lang w:val="en-US" w:eastAsia="zh-CN"/>
        </w:rPr>
        <w:t>4</w:t>
      </w:r>
      <w:r>
        <w:rPr>
          <w:rFonts w:asciiTheme="minorEastAsia" w:hAnsiTheme="minorEastAsia"/>
          <w:b/>
          <w:szCs w:val="28"/>
        </w:rPr>
        <w:t>.</w:t>
      </w:r>
      <w:r>
        <w:rPr>
          <w:rFonts w:hint="eastAsia" w:asciiTheme="minorEastAsia" w:hAnsiTheme="minorEastAsia"/>
          <w:b/>
          <w:szCs w:val="28"/>
          <w:lang w:val="en-US" w:eastAsia="zh-CN"/>
        </w:rPr>
        <w:t>12</w:t>
      </w:r>
      <w:r>
        <w:rPr>
          <w:rFonts w:hint="eastAsia" w:asciiTheme="minorEastAsia" w:hAnsiTheme="minorEastAsia"/>
          <w:b/>
          <w:szCs w:val="28"/>
        </w:rPr>
        <w:t>.</w:t>
      </w:r>
      <w:r>
        <w:rPr>
          <w:rFonts w:hint="eastAsia" w:asciiTheme="minorEastAsia" w:hAnsiTheme="minorEastAsia"/>
          <w:b/>
          <w:szCs w:val="28"/>
          <w:lang w:val="en-US" w:eastAsia="zh-CN"/>
        </w:rPr>
        <w:t>16 A0.2</w:t>
      </w:r>
      <w:r>
        <w:rPr>
          <w:rFonts w:hint="eastAsia" w:asciiTheme="minorEastAsia" w:hAnsiTheme="minorEastAsia"/>
          <w:b/>
          <w:szCs w:val="28"/>
        </w:rPr>
        <w:t>）</w:t>
      </w:r>
    </w:p>
    <w:p w14:paraId="28A21D49"/>
    <w:p w14:paraId="38CC7B41">
      <w:pPr>
        <w:pStyle w:val="12"/>
        <w:ind w:firstLine="420"/>
      </w:pPr>
    </w:p>
    <w:p w14:paraId="75E47AA2"/>
    <w:p w14:paraId="589EEFCB"/>
    <w:p w14:paraId="348A538E">
      <w:pPr>
        <w:pStyle w:val="12"/>
        <w:ind w:firstLine="420"/>
      </w:pPr>
    </w:p>
    <w:p w14:paraId="295433B7">
      <w:pPr>
        <w:ind w:firstLine="240" w:firstLineChars="100"/>
        <w:rPr>
          <w:b/>
          <w:sz w:val="30"/>
          <w:szCs w:val="30"/>
        </w:rPr>
      </w:pPr>
      <w:r>
        <mc:AlternateContent>
          <mc:Choice Requires="wps">
            <w:drawing>
              <wp:anchor distT="0" distB="0" distL="114300" distR="114300" simplePos="0" relativeHeight="251660288" behindDoc="0" locked="0" layoutInCell="1" allowOverlap="1">
                <wp:simplePos x="0" y="0"/>
                <wp:positionH relativeFrom="column">
                  <wp:posOffset>-67945</wp:posOffset>
                </wp:positionH>
                <wp:positionV relativeFrom="paragraph">
                  <wp:posOffset>353060</wp:posOffset>
                </wp:positionV>
                <wp:extent cx="5707380" cy="0"/>
                <wp:effectExtent l="0" t="6350" r="0" b="6350"/>
                <wp:wrapNone/>
                <wp:docPr id="28" name="Line 3"/>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3" o:spid="_x0000_s1026" o:spt="20" style="position:absolute;left:0pt;margin-left:-5.35pt;margin-top:27.8pt;height:0pt;width:449.4pt;z-index:251660288;mso-width-relative:page;mso-height-relative:page;" filled="f" stroked="t" coordsize="21600,21600" o:gfxdata="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13fxE2AAAAAkBAAAPAAAAAAAAAAEAIAAAACIAAABkcnMv&#10;ZG93bnJldi54bWxQSwECFAAUAAAACACHTuJADhEpR8oBAAChAwAADgAAAAAAAAABACAAAAAnAQAA&#10;ZHJzL2Uyb0RvYy54bWxQSwUGAAAAAAYABgBZAQAAYwUAAAAA&#10;">
                <v:fill on="f" focussize="0,0"/>
                <v:stroke weight="1pt" color="#000000" joinstyle="round"/>
                <v:imagedata o:title=""/>
                <o:lock v:ext="edit" aspectratio="f"/>
              </v:line>
            </w:pict>
          </mc:Fallback>
        </mc:AlternateContent>
      </w:r>
      <w:r>
        <w:rPr>
          <w:b/>
          <w:sz w:val="30"/>
          <w:szCs w:val="30"/>
        </w:rPr>
        <w:t>××××</w:t>
      </w:r>
      <w:r>
        <w:rPr>
          <w:rFonts w:hint="eastAsia" w:ascii="宋体" w:hAnsi="宋体"/>
          <w:b/>
          <w:sz w:val="30"/>
          <w:szCs w:val="30"/>
        </w:rPr>
        <w:t>­</w:t>
      </w:r>
      <w:r>
        <w:rPr>
          <w:b/>
          <w:sz w:val="30"/>
          <w:szCs w:val="30"/>
        </w:rPr>
        <w:t>××</w:t>
      </w:r>
      <w:r>
        <w:rPr>
          <w:rFonts w:hint="eastAsia" w:ascii="宋体" w:hAnsi="宋体"/>
          <w:b/>
          <w:sz w:val="30"/>
          <w:szCs w:val="30"/>
        </w:rPr>
        <w:t>­</w:t>
      </w:r>
      <w:r>
        <w:rPr>
          <w:b/>
          <w:sz w:val="30"/>
          <w:szCs w:val="30"/>
        </w:rPr>
        <w:t>××</w:t>
      </w:r>
      <w:r>
        <w:rPr>
          <w:rFonts w:hint="eastAsia"/>
          <w:b/>
          <w:sz w:val="30"/>
          <w:szCs w:val="30"/>
        </w:rPr>
        <w:t xml:space="preserve">发布                         </w:t>
      </w:r>
      <w:r>
        <w:rPr>
          <w:b/>
          <w:sz w:val="30"/>
          <w:szCs w:val="30"/>
        </w:rPr>
        <w:t>××××</w:t>
      </w:r>
      <w:r>
        <w:rPr>
          <w:rFonts w:hint="eastAsia" w:ascii="宋体" w:hAnsi="宋体"/>
          <w:b/>
          <w:sz w:val="30"/>
          <w:szCs w:val="30"/>
        </w:rPr>
        <w:t>­</w:t>
      </w:r>
      <w:r>
        <w:rPr>
          <w:b/>
          <w:sz w:val="30"/>
          <w:szCs w:val="30"/>
        </w:rPr>
        <w:t>××</w:t>
      </w:r>
      <w:r>
        <w:rPr>
          <w:rFonts w:hint="eastAsia" w:ascii="宋体" w:hAnsi="宋体"/>
          <w:b/>
          <w:sz w:val="30"/>
          <w:szCs w:val="30"/>
        </w:rPr>
        <w:t>­</w:t>
      </w:r>
      <w:r>
        <w:rPr>
          <w:b/>
          <w:sz w:val="30"/>
          <w:szCs w:val="30"/>
        </w:rPr>
        <w:t>××</w:t>
      </w:r>
      <w:r>
        <w:rPr>
          <w:rFonts w:hint="eastAsia"/>
          <w:b/>
          <w:sz w:val="30"/>
          <w:szCs w:val="30"/>
        </w:rPr>
        <w:t>实施</w:t>
      </w:r>
    </w:p>
    <w:p w14:paraId="15A6F0D7">
      <w:pPr>
        <w:rPr>
          <w:sz w:val="30"/>
          <w:szCs w:val="30"/>
        </w:rPr>
      </w:pPr>
    </w:p>
    <w:p w14:paraId="3F3F0319">
      <w:pPr>
        <w:pStyle w:val="11"/>
        <w:jc w:val="center"/>
        <w:rPr>
          <w:rFonts w:ascii="宋体" w:hAnsi="宋体" w:eastAsia="宋体"/>
          <w:sz w:val="28"/>
          <w:szCs w:val="28"/>
        </w:rPr>
        <w:sectPr>
          <w:headerReference r:id="rId4" w:type="first"/>
          <w:footerReference r:id="rId5" w:type="first"/>
          <w:headerReference r:id="rId3" w:type="even"/>
          <w:pgSz w:w="12240" w:h="15840"/>
          <w:pgMar w:top="1440" w:right="1800" w:bottom="1440" w:left="1800" w:header="720" w:footer="720" w:gutter="0"/>
          <w:cols w:space="720" w:num="1"/>
        </w:sectPr>
      </w:pPr>
      <w:r>
        <w:rPr>
          <w:rFonts w:hint="eastAsia" w:ascii="华文中宋" w:hAnsi="华文中宋" w:eastAsia="华文中宋"/>
          <w:sz w:val="44"/>
          <w:szCs w:val="44"/>
        </w:rPr>
        <w:t>国家市场监督管理总局</w:t>
      </w:r>
      <w:r>
        <w:rPr>
          <w:rFonts w:hint="eastAsia" w:ascii="黑体" w:hAnsi="黑体" w:eastAsia="黑体"/>
          <w:b/>
          <w:sz w:val="28"/>
          <w:szCs w:val="28"/>
        </w:rPr>
        <w:t>发</w:t>
      </w:r>
      <w:r>
        <w:rPr>
          <w:rFonts w:ascii="黑体" w:hAnsi="黑体" w:eastAsia="黑体"/>
          <w:b/>
          <w:sz w:val="28"/>
          <w:szCs w:val="28"/>
        </w:rPr>
        <w:t xml:space="preserve"> </w:t>
      </w:r>
      <w:r>
        <w:rPr>
          <w:rFonts w:hint="eastAsia" w:ascii="黑体" w:hAnsi="黑体" w:eastAsia="黑体"/>
          <w:b/>
          <w:sz w:val="28"/>
          <w:szCs w:val="28"/>
        </w:rPr>
        <w:t>布</w:t>
      </w:r>
    </w:p>
    <w:p w14:paraId="5AE75141">
      <w:pPr>
        <w:pStyle w:val="11"/>
        <w:jc w:val="center"/>
        <w:rPr>
          <w:rFonts w:ascii="宋体" w:hAnsi="宋体" w:eastAsia="宋体"/>
          <w:sz w:val="28"/>
          <w:szCs w:val="28"/>
        </w:rPr>
        <w:sectPr>
          <w:type w:val="continuous"/>
          <w:pgSz w:w="12240" w:h="15840"/>
          <w:pgMar w:top="1440" w:right="1800" w:bottom="1440" w:left="1800" w:header="720" w:footer="720" w:gutter="0"/>
          <w:cols w:space="720" w:num="1"/>
        </w:sectPr>
      </w:pPr>
    </w:p>
    <w:p w14:paraId="12E7FF83">
      <w:pPr>
        <w:jc w:val="center"/>
        <w:rPr>
          <w:rFonts w:ascii="黑体" w:eastAsia="黑体"/>
          <w:sz w:val="44"/>
          <w:szCs w:val="44"/>
        </w:rPr>
      </w:pPr>
    </w:p>
    <w:p w14:paraId="0DFD09E5">
      <w:pPr>
        <w:jc w:val="center"/>
        <w:rPr>
          <w:rFonts w:ascii="黑体" w:eastAsia="黑体"/>
          <w:sz w:val="44"/>
          <w:szCs w:val="44"/>
        </w:rPr>
      </w:pPr>
    </w:p>
    <w:p w14:paraId="67C82ECB">
      <w:pPr>
        <w:rPr>
          <w:rFonts w:ascii="黑体" w:eastAsia="黑体"/>
          <w:sz w:val="44"/>
          <w:szCs w:val="44"/>
        </w:rPr>
      </w:pPr>
      <w:r>
        <w:rPr>
          <w:rFonts w:hint="eastAsia" w:ascii="黑体" w:eastAsia="黑体"/>
          <w:sz w:val="44"/>
          <w:szCs w:val="44"/>
        </w:rPr>
        <w:t>Mini显示屏空间光色特性</w:t>
      </w:r>
    </w:p>
    <w:p w14:paraId="087ED159">
      <w:pPr>
        <w:rPr>
          <w:rFonts w:ascii="黑体" w:eastAsia="黑体"/>
          <w:sz w:val="44"/>
          <w:szCs w:val="44"/>
        </w:rPr>
      </w:pPr>
      <w:r>
        <w:rPr>
          <w:rFonts w:hint="eastAsia" w:ascii="黑体" w:eastAsia="黑体"/>
          <w:sz w:val="44"/>
          <w:szCs w:val="44"/>
        </w:rPr>
        <w:t>校准规范</w:t>
      </w:r>
    </w:p>
    <w:p w14:paraId="78CB53A1">
      <w:r>
        <w:rPr>
          <w:rFonts w:ascii="黑体" w:eastAsia="黑体"/>
          <w:sz w:val="44"/>
          <w:szCs w:val="44"/>
        </w:rPr>
        <mc:AlternateContent>
          <mc:Choice Requires="wps">
            <w:drawing>
              <wp:anchor distT="0" distB="0" distL="114300" distR="114300" simplePos="0" relativeHeight="251663360" behindDoc="0" locked="0" layoutInCell="1" allowOverlap="1">
                <wp:simplePos x="0" y="0"/>
                <wp:positionH relativeFrom="column">
                  <wp:posOffset>3261360</wp:posOffset>
                </wp:positionH>
                <wp:positionV relativeFrom="paragraph">
                  <wp:posOffset>93980</wp:posOffset>
                </wp:positionV>
                <wp:extent cx="2174240" cy="1000125"/>
                <wp:effectExtent l="4445" t="4445" r="15875" b="16510"/>
                <wp:wrapNone/>
                <wp:docPr id="27" name="AutoShape 4"/>
                <wp:cNvGraphicFramePr/>
                <a:graphic xmlns:a="http://schemas.openxmlformats.org/drawingml/2006/main">
                  <a:graphicData uri="http://schemas.microsoft.com/office/word/2010/wordprocessingShape">
                    <wps:wsp>
                      <wps:cNvSpPr>
                        <a:spLocks noChangeArrowheads="1"/>
                      </wps:cNvSpPr>
                      <wps:spPr bwMode="auto">
                        <a:xfrm>
                          <a:off x="0" y="0"/>
                          <a:ext cx="2174240" cy="1000125"/>
                        </a:xfrm>
                        <a:prstGeom prst="roundRect">
                          <a:avLst>
                            <a:gd name="adj" fmla="val 16667"/>
                          </a:avLst>
                        </a:prstGeom>
                        <a:solidFill>
                          <a:srgbClr val="FFFFFF"/>
                        </a:solidFill>
                        <a:ln w="9525">
                          <a:solidFill>
                            <a:srgbClr val="000000"/>
                          </a:solidFill>
                          <a:prstDash val="dashDot"/>
                          <a:round/>
                        </a:ln>
                      </wps:spPr>
                      <wps:txbx>
                        <w:txbxContent>
                          <w:p w14:paraId="1F92E019">
                            <w:pPr>
                              <w:rPr>
                                <w:rFonts w:ascii="Arial" w:hAnsi="Arial" w:cs="Arial"/>
                                <w:b/>
                              </w:rPr>
                            </w:pPr>
                          </w:p>
                          <w:p w14:paraId="1E64141D">
                            <w:pPr>
                              <w:rPr>
                                <w:rFonts w:ascii="Arial" w:hAnsi="Arial" w:cs="Arial"/>
                                <w:b/>
                              </w:rPr>
                            </w:pPr>
                          </w:p>
                          <w:p w14:paraId="469A1F91">
                            <w:pPr>
                              <w:jc w:val="center"/>
                              <w:rPr>
                                <w:rFonts w:ascii="黑体" w:hAnsi="黑体" w:eastAsia="黑体"/>
                                <w:b/>
                                <w:sz w:val="28"/>
                                <w:szCs w:val="28"/>
                              </w:rPr>
                            </w:pPr>
                            <w:r>
                              <w:rPr>
                                <w:rFonts w:ascii="黑体" w:hAnsi="黑体" w:eastAsia="黑体" w:cs="Arial"/>
                                <w:b/>
                                <w:sz w:val="28"/>
                                <w:szCs w:val="28"/>
                              </w:rPr>
                              <w:t xml:space="preserve">JJF </w:t>
                            </w:r>
                            <w:r>
                              <w:rPr>
                                <w:rFonts w:hint="eastAsia" w:ascii="黑体" w:hAnsi="黑体" w:eastAsia="黑体" w:cs="Arial"/>
                                <w:b/>
                                <w:sz w:val="28"/>
                                <w:szCs w:val="28"/>
                              </w:rPr>
                              <w:t>××××</w:t>
                            </w:r>
                            <w:r>
                              <w:rPr>
                                <w:rFonts w:ascii="黑体" w:hAnsi="黑体" w:eastAsia="黑体" w:cs="Arial"/>
                                <w:b/>
                                <w:sz w:val="28"/>
                                <w:szCs w:val="28"/>
                              </w:rPr>
                              <w:t>-××××</w:t>
                            </w:r>
                          </w:p>
                        </w:txbxContent>
                      </wps:txbx>
                      <wps:bodyPr rot="0" vert="horz" wrap="square" lIns="91440" tIns="45720" rIns="91440" bIns="45720" anchor="t" anchorCtr="0" upright="1">
                        <a:noAutofit/>
                      </wps:bodyPr>
                    </wps:wsp>
                  </a:graphicData>
                </a:graphic>
              </wp:anchor>
            </w:drawing>
          </mc:Choice>
          <mc:Fallback>
            <w:pict>
              <v:roundrect id="AutoShape 4" o:spid="_x0000_s1026" o:spt="2" style="position:absolute;left:0pt;margin-left:256.8pt;margin-top:7.4pt;height:78.75pt;width:171.2pt;z-index:251663360;mso-width-relative:page;mso-height-relative:page;" fillcolor="#FFFFFF" filled="t" stroked="t" coordsize="21600,21600" arcsize="0.166666666666667" o:gfxdata="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h9YzXAAAACgEAAA8AAAAAAAAA&#10;AQAgAAAAIgAAAGRycy9kb3ducmV2LnhtbFBLAQIUABQAAAAIAIdO4kCJnMRzSwIAAL4EAAAOAAAA&#10;AAAAAAEAIAAAACYBAABkcnMvZTJvRG9jLnhtbFBLBQYAAAAABgAGAFkBAADjBQAAAAA=&#10;">
                <v:fill on="t" focussize="0,0"/>
                <v:stroke color="#000000" joinstyle="round" dashstyle="dashDot"/>
                <v:imagedata o:title=""/>
                <o:lock v:ext="edit" aspectratio="f"/>
                <v:textbox>
                  <w:txbxContent>
                    <w:p w14:paraId="1F92E019">
                      <w:pPr>
                        <w:rPr>
                          <w:rFonts w:ascii="Arial" w:hAnsi="Arial" w:cs="Arial"/>
                          <w:b/>
                        </w:rPr>
                      </w:pPr>
                    </w:p>
                    <w:p w14:paraId="1E64141D">
                      <w:pPr>
                        <w:rPr>
                          <w:rFonts w:ascii="Arial" w:hAnsi="Arial" w:cs="Arial"/>
                          <w:b/>
                        </w:rPr>
                      </w:pPr>
                    </w:p>
                    <w:p w14:paraId="469A1F91">
                      <w:pPr>
                        <w:jc w:val="center"/>
                        <w:rPr>
                          <w:rFonts w:ascii="黑体" w:hAnsi="黑体" w:eastAsia="黑体"/>
                          <w:b/>
                          <w:sz w:val="28"/>
                          <w:szCs w:val="28"/>
                        </w:rPr>
                      </w:pPr>
                      <w:r>
                        <w:rPr>
                          <w:rFonts w:ascii="黑体" w:hAnsi="黑体" w:eastAsia="黑体" w:cs="Arial"/>
                          <w:b/>
                          <w:sz w:val="28"/>
                          <w:szCs w:val="28"/>
                        </w:rPr>
                        <w:t xml:space="preserve">JJF </w:t>
                      </w:r>
                      <w:r>
                        <w:rPr>
                          <w:rFonts w:hint="eastAsia" w:ascii="黑体" w:hAnsi="黑体" w:eastAsia="黑体" w:cs="Arial"/>
                          <w:b/>
                          <w:sz w:val="28"/>
                          <w:szCs w:val="28"/>
                        </w:rPr>
                        <w:t>××××</w:t>
                      </w:r>
                      <w:r>
                        <w:rPr>
                          <w:rFonts w:ascii="黑体" w:hAnsi="黑体" w:eastAsia="黑体" w:cs="Arial"/>
                          <w:b/>
                          <w:sz w:val="28"/>
                          <w:szCs w:val="28"/>
                        </w:rPr>
                        <w:t>-××××</w:t>
                      </w:r>
                    </w:p>
                  </w:txbxContent>
                </v:textbox>
              </v:roundrect>
            </w:pict>
          </mc:Fallback>
        </mc:AlternateContent>
      </w:r>
      <w:r>
        <w:t xml:space="preserve">                                                             </w:t>
      </w:r>
    </w:p>
    <w:p w14:paraId="50FF162B">
      <w:pPr>
        <w:pStyle w:val="11"/>
        <w:spacing w:line="480" w:lineRule="auto"/>
        <w:rPr>
          <w:rFonts w:hint="eastAsia" w:ascii="黑体" w:hAnsi="黑体" w:eastAsia="黑体" w:cs="Times New Roman"/>
          <w:b/>
          <w:color w:val="auto"/>
          <w:kern w:val="2"/>
          <w:sz w:val="28"/>
          <w:szCs w:val="28"/>
          <w:lang w:val="en-US" w:eastAsia="zh-CN"/>
        </w:rPr>
      </w:pPr>
      <w:r>
        <w:rPr>
          <w:rFonts w:ascii="黑体" w:hAnsi="黑体" w:eastAsia="黑体" w:cs="Times New Roman"/>
          <w:b/>
          <w:color w:val="auto"/>
          <w:kern w:val="2"/>
          <w:sz w:val="28"/>
          <w:szCs w:val="28"/>
        </w:rPr>
        <w:t xml:space="preserve">Specification </w:t>
      </w:r>
      <w:r>
        <w:rPr>
          <w:rFonts w:hint="eastAsia" w:ascii="黑体" w:hAnsi="黑体" w:eastAsia="黑体" w:cs="Times New Roman"/>
          <w:b/>
          <w:color w:val="auto"/>
          <w:kern w:val="2"/>
          <w:sz w:val="28"/>
          <w:szCs w:val="28"/>
          <w:lang w:val="en-US" w:eastAsia="zh-CN"/>
        </w:rPr>
        <w:t>of</w:t>
      </w:r>
    </w:p>
    <w:p w14:paraId="03503AB2">
      <w:pPr>
        <w:pStyle w:val="11"/>
        <w:spacing w:line="480" w:lineRule="auto"/>
        <w:rPr>
          <w:rFonts w:hint="eastAsia" w:ascii="黑体" w:hAnsi="黑体" w:eastAsia="黑体"/>
          <w:b/>
          <w:sz w:val="28"/>
          <w:szCs w:val="28"/>
          <w:lang w:val="en-US" w:eastAsia="zh-CN"/>
        </w:rPr>
      </w:pPr>
      <w:r>
        <w:rPr>
          <w:rFonts w:hint="eastAsia" w:ascii="黑体" w:hAnsi="黑体" w:eastAsia="黑体"/>
          <w:b/>
          <w:sz w:val="28"/>
          <w:szCs w:val="28"/>
          <w:lang w:val="en-US" w:eastAsia="zh-CN"/>
        </w:rPr>
        <w:t>Spatial Luminance and Colour</w:t>
      </w:r>
    </w:p>
    <w:p w14:paraId="7B750D09">
      <w:pPr>
        <w:pStyle w:val="11"/>
        <w:spacing w:line="480" w:lineRule="auto"/>
        <w:rPr>
          <w:rFonts w:hint="default" w:ascii="黑体" w:hAnsi="黑体" w:eastAsia="黑体"/>
          <w:b/>
          <w:sz w:val="28"/>
          <w:szCs w:val="28"/>
          <w:lang w:val="en-US"/>
        </w:rPr>
      </w:pPr>
      <w:r>
        <w:rPr>
          <w:rFonts w:hint="eastAsia" w:ascii="黑体" w:hAnsi="黑体" w:eastAsia="黑体"/>
          <w:b/>
          <w:sz w:val="28"/>
          <w:szCs w:val="28"/>
          <w:lang w:val="en-US" w:eastAsia="zh-CN"/>
        </w:rPr>
        <w:t xml:space="preserve">Characteristics </w:t>
      </w:r>
      <w:r>
        <w:rPr>
          <w:rFonts w:ascii="黑体" w:hAnsi="黑体" w:eastAsia="黑体" w:cs="Times New Roman"/>
          <w:b/>
          <w:color w:val="auto"/>
          <w:kern w:val="2"/>
          <w:sz w:val="28"/>
          <w:szCs w:val="28"/>
        </w:rPr>
        <w:t xml:space="preserve">Calibration </w:t>
      </w:r>
      <w:r>
        <w:rPr>
          <w:rFonts w:hint="eastAsia" w:ascii="黑体" w:hAnsi="黑体" w:eastAsia="黑体"/>
          <w:b/>
          <w:sz w:val="28"/>
          <w:szCs w:val="28"/>
          <w:lang w:val="en-US" w:eastAsia="zh-CN"/>
        </w:rPr>
        <w:t>for Mini LED Displays</w:t>
      </w:r>
    </w:p>
    <w:p w14:paraId="6D5A2300">
      <w:pPr>
        <w:pStyle w:val="11"/>
        <w:spacing w:line="480" w:lineRule="auto"/>
        <w:rPr>
          <w:rFonts w:ascii="黑体" w:hAnsi="黑体" w:eastAsia="黑体"/>
          <w:b/>
          <w:sz w:val="28"/>
          <w:szCs w:val="28"/>
        </w:rPr>
      </w:pPr>
    </w:p>
    <w:p w14:paraId="42C31327">
      <w:pPr>
        <w:rPr>
          <w:sz w:val="30"/>
          <w:szCs w:val="30"/>
        </w:rPr>
      </w:pPr>
      <w:r>
        <w:rPr>
          <w:sz w:val="30"/>
          <w:szCs w:val="30"/>
        </w:rPr>
        <mc:AlternateContent>
          <mc:Choice Requires="wps">
            <w:drawing>
              <wp:anchor distT="0" distB="0" distL="114300" distR="114300" simplePos="0" relativeHeight="251662336" behindDoc="0" locked="0" layoutInCell="1" allowOverlap="1">
                <wp:simplePos x="0" y="0"/>
                <wp:positionH relativeFrom="column">
                  <wp:posOffset>-163195</wp:posOffset>
                </wp:positionH>
                <wp:positionV relativeFrom="paragraph">
                  <wp:posOffset>154940</wp:posOffset>
                </wp:positionV>
                <wp:extent cx="5707380" cy="0"/>
                <wp:effectExtent l="0" t="6350" r="0" b="6350"/>
                <wp:wrapNone/>
                <wp:docPr id="26" name="Line 5"/>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5" o:spid="_x0000_s1026" o:spt="20" style="position:absolute;left:0pt;margin-left:-12.85pt;margin-top:12.2pt;height:0pt;width:449.4pt;z-index:251662336;mso-width-relative:page;mso-height-relative:page;" filled="f" stroked="t" coordsize="21600,21600" o:gfxdata="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YLzzI2AAAAAkBAAAPAAAAAAAAAAEAIAAAACIAAABkcnMv&#10;ZG93bnJldi54bWxQSwECFAAUAAAACACHTuJAWkXs7soBAAChAwAADgAAAAAAAAABACAAAAAnAQAA&#10;ZHJzL2Uyb0RvYy54bWxQSwUGAAAAAAYABgBZAQAAYwUAAAAA&#10;">
                <v:fill on="f" focussize="0,0"/>
                <v:stroke weight="1pt" color="#000000" joinstyle="round"/>
                <v:imagedata o:title=""/>
                <o:lock v:ext="edit" aspectratio="f"/>
              </v:line>
            </w:pict>
          </mc:Fallback>
        </mc:AlternateContent>
      </w:r>
    </w:p>
    <w:p w14:paraId="0EA7AA7A">
      <w:pPr>
        <w:spacing w:line="360" w:lineRule="auto"/>
        <w:rPr>
          <w:sz w:val="30"/>
          <w:szCs w:val="30"/>
        </w:rPr>
      </w:pPr>
    </w:p>
    <w:p w14:paraId="25277F91">
      <w:pPr>
        <w:pStyle w:val="11"/>
        <w:ind w:firstLine="560"/>
        <w:rPr>
          <w:rFonts w:ascii="宋体" w:hAnsi="宋体" w:eastAsia="宋体"/>
          <w:snapToGrid w:val="0"/>
          <w:sz w:val="28"/>
          <w:szCs w:val="28"/>
        </w:rPr>
      </w:pPr>
    </w:p>
    <w:p w14:paraId="0B7C3521">
      <w:pPr>
        <w:pStyle w:val="11"/>
        <w:ind w:firstLine="560"/>
        <w:rPr>
          <w:rFonts w:ascii="宋体" w:hAnsi="宋体" w:eastAsia="宋体"/>
          <w:snapToGrid w:val="0"/>
          <w:sz w:val="28"/>
          <w:szCs w:val="28"/>
        </w:rPr>
      </w:pPr>
    </w:p>
    <w:p w14:paraId="2FE12F53">
      <w:pPr>
        <w:pStyle w:val="11"/>
        <w:ind w:firstLine="560"/>
        <w:rPr>
          <w:rFonts w:ascii="宋体" w:hAnsi="宋体" w:eastAsia="宋体"/>
          <w:snapToGrid w:val="0"/>
          <w:sz w:val="28"/>
          <w:szCs w:val="28"/>
        </w:rPr>
      </w:pPr>
    </w:p>
    <w:p w14:paraId="5D6D5E9B">
      <w:pPr>
        <w:pStyle w:val="11"/>
        <w:ind w:firstLine="560"/>
        <w:rPr>
          <w:rFonts w:ascii="宋体" w:hAnsi="宋体" w:eastAsia="宋体"/>
          <w:snapToGrid w:val="0"/>
          <w:sz w:val="28"/>
          <w:szCs w:val="28"/>
        </w:rPr>
      </w:pPr>
    </w:p>
    <w:p w14:paraId="422CD9D7">
      <w:pPr>
        <w:autoSpaceDE w:val="0"/>
        <w:autoSpaceDN w:val="0"/>
        <w:adjustRightInd w:val="0"/>
        <w:spacing w:line="360" w:lineRule="auto"/>
        <w:ind w:firstLine="1260" w:firstLineChars="450"/>
        <w:rPr>
          <w:rFonts w:ascii="宋体" w:cs="宋体"/>
          <w:kern w:val="0"/>
          <w:sz w:val="28"/>
          <w:szCs w:val="28"/>
        </w:rPr>
      </w:pPr>
      <w:r>
        <w:rPr>
          <w:rFonts w:hint="eastAsia" w:ascii="黑体" w:eastAsia="黑体" w:cs="黑体"/>
          <w:kern w:val="0"/>
          <w:sz w:val="28"/>
          <w:szCs w:val="28"/>
        </w:rPr>
        <w:t>归  口 单 位</w:t>
      </w:r>
      <w:r>
        <w:rPr>
          <w:rFonts w:ascii="黑体" w:eastAsia="黑体" w:cs="黑体"/>
          <w:kern w:val="0"/>
          <w:sz w:val="28"/>
          <w:szCs w:val="28"/>
        </w:rPr>
        <w:t xml:space="preserve"> </w:t>
      </w:r>
      <w:r>
        <w:rPr>
          <w:rFonts w:hint="eastAsia" w:ascii="宋体" w:cs="宋体"/>
          <w:kern w:val="0"/>
          <w:sz w:val="28"/>
          <w:szCs w:val="28"/>
        </w:rPr>
        <w:t>：</w:t>
      </w:r>
      <w:r>
        <w:rPr>
          <w:rFonts w:ascii="宋体" w:cs="宋体"/>
          <w:kern w:val="0"/>
          <w:sz w:val="28"/>
          <w:szCs w:val="28"/>
        </w:rPr>
        <w:t xml:space="preserve"> </w:t>
      </w:r>
      <w:r>
        <w:rPr>
          <w:rFonts w:hint="eastAsia" w:ascii="宋体" w:cs="宋体"/>
          <w:kern w:val="0"/>
          <w:sz w:val="28"/>
          <w:szCs w:val="28"/>
        </w:rPr>
        <w:tab/>
      </w:r>
      <w:r>
        <w:rPr>
          <w:rFonts w:hint="eastAsia" w:ascii="宋体" w:cs="宋体"/>
          <w:kern w:val="0"/>
          <w:sz w:val="28"/>
          <w:szCs w:val="28"/>
        </w:rPr>
        <w:t>全国光学计量技术委员会</w:t>
      </w:r>
    </w:p>
    <w:p w14:paraId="3B312C7E">
      <w:pPr>
        <w:autoSpaceDE w:val="0"/>
        <w:autoSpaceDN w:val="0"/>
        <w:adjustRightInd w:val="0"/>
        <w:spacing w:line="360" w:lineRule="auto"/>
        <w:ind w:firstLine="1260" w:firstLineChars="450"/>
        <w:rPr>
          <w:rFonts w:ascii="宋体" w:cs="宋体"/>
          <w:kern w:val="0"/>
          <w:sz w:val="28"/>
          <w:szCs w:val="28"/>
        </w:rPr>
      </w:pPr>
      <w:r>
        <w:rPr>
          <w:rFonts w:hint="eastAsia" w:ascii="黑体" w:eastAsia="黑体" w:cs="黑体"/>
          <w:kern w:val="0"/>
          <w:sz w:val="28"/>
          <w:szCs w:val="28"/>
        </w:rPr>
        <w:t>主要起草单位</w:t>
      </w:r>
      <w:r>
        <w:rPr>
          <w:rFonts w:ascii="黑体" w:eastAsia="黑体" w:cs="黑体"/>
          <w:kern w:val="0"/>
          <w:sz w:val="28"/>
          <w:szCs w:val="28"/>
        </w:rPr>
        <w:t xml:space="preserve"> </w:t>
      </w:r>
      <w:r>
        <w:rPr>
          <w:rFonts w:hint="eastAsia" w:ascii="宋体" w:cs="宋体"/>
          <w:kern w:val="0"/>
          <w:sz w:val="28"/>
          <w:szCs w:val="28"/>
        </w:rPr>
        <w:t>：</w:t>
      </w:r>
      <w:r>
        <w:rPr>
          <w:rFonts w:ascii="宋体" w:cs="宋体"/>
          <w:kern w:val="0"/>
          <w:sz w:val="28"/>
          <w:szCs w:val="28"/>
        </w:rPr>
        <w:t xml:space="preserve"> </w:t>
      </w:r>
      <w:r>
        <w:rPr>
          <w:rFonts w:hint="eastAsia" w:ascii="宋体" w:cs="宋体"/>
          <w:kern w:val="0"/>
          <w:sz w:val="28"/>
          <w:szCs w:val="28"/>
        </w:rPr>
        <w:tab/>
      </w:r>
      <w:r>
        <w:rPr>
          <w:rFonts w:hint="eastAsia" w:ascii="宋体" w:cs="宋体"/>
          <w:kern w:val="0"/>
          <w:sz w:val="28"/>
          <w:szCs w:val="28"/>
        </w:rPr>
        <w:t>中国计量科学研究院</w:t>
      </w:r>
    </w:p>
    <w:p w14:paraId="02DAD745">
      <w:pPr>
        <w:autoSpaceDE w:val="0"/>
        <w:autoSpaceDN w:val="0"/>
        <w:adjustRightInd w:val="0"/>
        <w:spacing w:line="360" w:lineRule="auto"/>
        <w:ind w:firstLine="1260" w:firstLineChars="450"/>
        <w:rPr>
          <w:rFonts w:ascii="宋体" w:cs="宋体"/>
          <w:kern w:val="0"/>
          <w:sz w:val="28"/>
          <w:szCs w:val="28"/>
        </w:rPr>
      </w:pPr>
      <w:r>
        <w:rPr>
          <w:rFonts w:hint="eastAsia" w:ascii="黑体" w:eastAsia="黑体" w:cs="黑体"/>
          <w:kern w:val="0"/>
          <w:sz w:val="28"/>
          <w:szCs w:val="28"/>
        </w:rPr>
        <w:t>参加起草单位</w:t>
      </w:r>
      <w:r>
        <w:rPr>
          <w:rFonts w:ascii="黑体" w:eastAsia="黑体" w:cs="黑体"/>
          <w:kern w:val="0"/>
          <w:sz w:val="28"/>
          <w:szCs w:val="28"/>
        </w:rPr>
        <w:t xml:space="preserve"> </w:t>
      </w:r>
      <w:r>
        <w:rPr>
          <w:rFonts w:hint="eastAsia" w:ascii="宋体" w:cs="宋体"/>
          <w:kern w:val="0"/>
          <w:sz w:val="28"/>
          <w:szCs w:val="28"/>
        </w:rPr>
        <w:t xml:space="preserve">： </w:t>
      </w:r>
      <w:r>
        <w:rPr>
          <w:rFonts w:hint="eastAsia" w:ascii="宋体" w:cs="宋体"/>
          <w:kern w:val="0"/>
          <w:sz w:val="28"/>
          <w:szCs w:val="28"/>
        </w:rPr>
        <w:tab/>
      </w:r>
      <w:r>
        <w:rPr>
          <w:rFonts w:hint="eastAsia" w:ascii="宋体" w:cs="宋体"/>
          <w:kern w:val="0"/>
          <w:sz w:val="28"/>
          <w:szCs w:val="28"/>
        </w:rPr>
        <w:t>苏州市计量测试院</w:t>
      </w:r>
    </w:p>
    <w:p w14:paraId="2B114ED7">
      <w:pPr>
        <w:autoSpaceDE w:val="0"/>
        <w:autoSpaceDN w:val="0"/>
        <w:adjustRightInd w:val="0"/>
        <w:spacing w:line="360" w:lineRule="auto"/>
        <w:ind w:firstLine="1260" w:firstLineChars="450"/>
        <w:rPr>
          <w:rFonts w:ascii="宋体" w:cs="宋体"/>
          <w:kern w:val="0"/>
          <w:sz w:val="28"/>
          <w:szCs w:val="28"/>
        </w:rPr>
      </w:pPr>
      <w:r>
        <w:rPr>
          <w:rFonts w:hint="eastAsia" w:ascii="宋体" w:cs="宋体"/>
          <w:kern w:val="0"/>
          <w:sz w:val="28"/>
          <w:szCs w:val="28"/>
        </w:rPr>
        <w:tab/>
      </w:r>
      <w:r>
        <w:rPr>
          <w:rFonts w:hint="eastAsia" w:ascii="宋体" w:cs="宋体"/>
          <w:kern w:val="0"/>
          <w:sz w:val="28"/>
          <w:szCs w:val="28"/>
        </w:rPr>
        <w:tab/>
      </w:r>
      <w:r>
        <w:rPr>
          <w:rFonts w:hint="eastAsia" w:ascii="宋体" w:cs="宋体"/>
          <w:kern w:val="0"/>
          <w:sz w:val="28"/>
          <w:szCs w:val="28"/>
        </w:rPr>
        <w:tab/>
      </w:r>
      <w:r>
        <w:rPr>
          <w:rFonts w:hint="eastAsia" w:ascii="宋体" w:cs="宋体"/>
          <w:kern w:val="0"/>
          <w:sz w:val="28"/>
          <w:szCs w:val="28"/>
        </w:rPr>
        <w:tab/>
      </w:r>
      <w:r>
        <w:rPr>
          <w:rFonts w:hint="eastAsia" w:ascii="宋体" w:cs="宋体"/>
          <w:kern w:val="0"/>
          <w:sz w:val="28"/>
          <w:szCs w:val="28"/>
        </w:rPr>
        <w:tab/>
      </w:r>
      <w:r>
        <w:rPr>
          <w:rFonts w:hint="eastAsia" w:ascii="宋体" w:cs="宋体"/>
          <w:kern w:val="0"/>
          <w:sz w:val="28"/>
          <w:szCs w:val="28"/>
        </w:rPr>
        <w:t xml:space="preserve"> </w:t>
      </w:r>
      <w:r>
        <w:rPr>
          <w:rFonts w:hint="eastAsia" w:ascii="宋体" w:cs="宋体"/>
          <w:kern w:val="0"/>
          <w:sz w:val="28"/>
          <w:szCs w:val="28"/>
        </w:rPr>
        <w:tab/>
      </w:r>
      <w:r>
        <w:rPr>
          <w:rFonts w:hint="eastAsia" w:ascii="宋体" w:cs="宋体"/>
          <w:kern w:val="0"/>
          <w:sz w:val="28"/>
          <w:szCs w:val="28"/>
        </w:rPr>
        <w:t>深圳市计量质量检测研究院</w:t>
      </w:r>
    </w:p>
    <w:p w14:paraId="55BA0A5F">
      <w:pPr>
        <w:autoSpaceDE w:val="0"/>
        <w:autoSpaceDN w:val="0"/>
        <w:adjustRightInd w:val="0"/>
        <w:spacing w:line="360" w:lineRule="auto"/>
        <w:ind w:left="2520" w:firstLine="1260" w:firstLineChars="450"/>
        <w:rPr>
          <w:rFonts w:ascii="宋体" w:cs="宋体"/>
          <w:kern w:val="0"/>
          <w:sz w:val="28"/>
          <w:szCs w:val="28"/>
        </w:rPr>
      </w:pPr>
    </w:p>
    <w:p w14:paraId="5926D61C">
      <w:pPr>
        <w:autoSpaceDE w:val="0"/>
        <w:autoSpaceDN w:val="0"/>
        <w:adjustRightInd w:val="0"/>
        <w:spacing w:line="360" w:lineRule="auto"/>
        <w:ind w:left="2520" w:firstLine="1260" w:firstLineChars="450"/>
        <w:rPr>
          <w:rFonts w:ascii="宋体" w:cs="宋体"/>
          <w:kern w:val="0"/>
          <w:sz w:val="28"/>
          <w:szCs w:val="28"/>
        </w:rPr>
      </w:pPr>
    </w:p>
    <w:p w14:paraId="65FC0254">
      <w:pPr>
        <w:autoSpaceDE w:val="0"/>
        <w:autoSpaceDN w:val="0"/>
        <w:adjustRightInd w:val="0"/>
        <w:spacing w:line="360" w:lineRule="auto"/>
        <w:ind w:left="2520" w:firstLine="1260" w:firstLineChars="450"/>
        <w:rPr>
          <w:rFonts w:ascii="宋体" w:cs="宋体"/>
          <w:kern w:val="0"/>
          <w:sz w:val="28"/>
          <w:szCs w:val="28"/>
        </w:rPr>
      </w:pPr>
    </w:p>
    <w:p w14:paraId="306C9F0E">
      <w:pPr>
        <w:autoSpaceDE w:val="0"/>
        <w:autoSpaceDN w:val="0"/>
        <w:adjustRightInd w:val="0"/>
        <w:spacing w:line="360" w:lineRule="auto"/>
        <w:ind w:firstLine="1260" w:firstLineChars="450"/>
        <w:rPr>
          <w:rFonts w:ascii="宋体" w:cs="宋体"/>
          <w:kern w:val="0"/>
          <w:sz w:val="28"/>
          <w:szCs w:val="28"/>
        </w:rPr>
      </w:pPr>
      <w:r>
        <w:rPr>
          <w:rFonts w:hint="eastAsia" w:ascii="宋体" w:cs="宋体"/>
          <w:kern w:val="0"/>
          <w:sz w:val="28"/>
          <w:szCs w:val="28"/>
        </w:rPr>
        <w:t xml:space="preserve">                </w:t>
      </w:r>
    </w:p>
    <w:p w14:paraId="51DEA784">
      <w:pPr>
        <w:pStyle w:val="11"/>
        <w:jc w:val="center"/>
        <w:rPr>
          <w:rFonts w:ascii="宋体" w:hAnsi="宋体" w:eastAsia="宋体"/>
          <w:sz w:val="28"/>
          <w:szCs w:val="28"/>
        </w:rPr>
        <w:sectPr>
          <w:headerReference r:id="rId8" w:type="first"/>
          <w:footerReference r:id="rId11" w:type="first"/>
          <w:headerReference r:id="rId6" w:type="default"/>
          <w:footerReference r:id="rId9" w:type="default"/>
          <w:headerReference r:id="rId7" w:type="even"/>
          <w:footerReference r:id="rId10" w:type="even"/>
          <w:pgSz w:w="12240" w:h="15840"/>
          <w:pgMar w:top="1440" w:right="1800" w:bottom="1440" w:left="1800" w:header="720" w:footer="720" w:gutter="0"/>
          <w:pgNumType w:start="1"/>
          <w:cols w:space="720" w:num="1"/>
          <w:titlePg/>
          <w:docGrid w:linePitch="326" w:charSpace="0"/>
        </w:sectPr>
      </w:pPr>
      <w:r>
        <w:rPr>
          <w:rFonts w:hint="eastAsia" w:ascii="宋体" w:hAnsi="宋体" w:eastAsia="宋体"/>
          <w:sz w:val="28"/>
          <w:szCs w:val="28"/>
        </w:rPr>
        <w:t>本规范委托全国光学计量技术委员会负责解释</w:t>
      </w:r>
    </w:p>
    <w:p w14:paraId="0A963089">
      <w:pPr>
        <w:autoSpaceDE w:val="0"/>
        <w:autoSpaceDN w:val="0"/>
        <w:adjustRightInd w:val="0"/>
        <w:jc w:val="left"/>
        <w:rPr>
          <w:rFonts w:ascii="黑体" w:eastAsia="黑体" w:cs="黑体"/>
          <w:kern w:val="0"/>
          <w:sz w:val="28"/>
          <w:szCs w:val="28"/>
        </w:rPr>
      </w:pPr>
    </w:p>
    <w:p w14:paraId="3FF50CE5">
      <w:pPr>
        <w:autoSpaceDE w:val="0"/>
        <w:autoSpaceDN w:val="0"/>
        <w:adjustRightInd w:val="0"/>
        <w:jc w:val="left"/>
        <w:rPr>
          <w:rFonts w:ascii="黑体" w:eastAsia="黑体" w:cs="黑体"/>
          <w:kern w:val="0"/>
          <w:sz w:val="28"/>
          <w:szCs w:val="28"/>
        </w:rPr>
      </w:pPr>
      <w:r>
        <w:rPr>
          <w:rFonts w:hint="eastAsia" w:ascii="黑体" w:eastAsia="黑体" w:cs="黑体"/>
          <w:kern w:val="0"/>
          <w:sz w:val="28"/>
          <w:szCs w:val="28"/>
        </w:rPr>
        <w:t>本规范主要起草人：</w:t>
      </w:r>
      <w:r>
        <w:rPr>
          <w:rFonts w:ascii="黑体" w:eastAsia="黑体" w:cs="黑体"/>
          <w:kern w:val="0"/>
          <w:sz w:val="28"/>
          <w:szCs w:val="28"/>
        </w:rPr>
        <w:t xml:space="preserve"> </w:t>
      </w:r>
    </w:p>
    <w:p w14:paraId="54DE3529">
      <w:pPr>
        <w:autoSpaceDE w:val="0"/>
        <w:autoSpaceDN w:val="0"/>
        <w:adjustRightInd w:val="0"/>
        <w:spacing w:line="360" w:lineRule="auto"/>
        <w:ind w:left="1416" w:leftChars="590"/>
        <w:rPr>
          <w:rFonts w:ascii="宋体" w:cs="宋体"/>
          <w:kern w:val="0"/>
          <w:sz w:val="28"/>
          <w:szCs w:val="28"/>
        </w:rPr>
      </w:pPr>
      <w:r>
        <w:rPr>
          <w:rFonts w:hint="eastAsia" w:ascii="宋体" w:cs="宋体"/>
          <w:kern w:val="0"/>
          <w:sz w:val="28"/>
          <w:szCs w:val="28"/>
        </w:rPr>
        <w:t>赵伟强（中国计量科学研究院）</w:t>
      </w:r>
    </w:p>
    <w:p w14:paraId="4140EE97">
      <w:pPr>
        <w:autoSpaceDE w:val="0"/>
        <w:autoSpaceDN w:val="0"/>
        <w:adjustRightInd w:val="0"/>
        <w:spacing w:line="360" w:lineRule="auto"/>
        <w:ind w:left="1416" w:leftChars="590"/>
        <w:rPr>
          <w:rFonts w:hint="eastAsia" w:ascii="宋体" w:cs="宋体"/>
          <w:kern w:val="0"/>
          <w:sz w:val="28"/>
          <w:szCs w:val="28"/>
        </w:rPr>
      </w:pPr>
      <w:r>
        <w:rPr>
          <w:rFonts w:hint="eastAsia" w:ascii="宋体" w:cs="宋体"/>
          <w:kern w:val="0"/>
          <w:sz w:val="28"/>
          <w:szCs w:val="28"/>
          <w:lang w:val="en-US" w:eastAsia="zh-CN"/>
        </w:rPr>
        <w:t>徐英莹</w:t>
      </w:r>
      <w:bookmarkStart w:id="101" w:name="_GoBack"/>
      <w:bookmarkEnd w:id="101"/>
      <w:r>
        <w:rPr>
          <w:rFonts w:hint="eastAsia" w:ascii="宋体" w:cs="宋体"/>
          <w:kern w:val="0"/>
          <w:sz w:val="28"/>
          <w:szCs w:val="28"/>
        </w:rPr>
        <w:t>（中国计量科学研究院）</w:t>
      </w:r>
    </w:p>
    <w:p w14:paraId="3B5A4AE6">
      <w:pPr>
        <w:autoSpaceDE w:val="0"/>
        <w:autoSpaceDN w:val="0"/>
        <w:adjustRightInd w:val="0"/>
        <w:ind w:left="708" w:leftChars="295"/>
        <w:jc w:val="left"/>
        <w:rPr>
          <w:rFonts w:ascii="黑体" w:eastAsia="黑体" w:cs="黑体"/>
          <w:kern w:val="0"/>
          <w:sz w:val="28"/>
          <w:szCs w:val="28"/>
        </w:rPr>
      </w:pPr>
      <w:r>
        <w:rPr>
          <w:rFonts w:hint="eastAsia" w:ascii="黑体" w:eastAsia="黑体" w:cs="黑体"/>
          <w:kern w:val="0"/>
          <w:sz w:val="28"/>
          <w:szCs w:val="28"/>
        </w:rPr>
        <w:t>参加起草人：</w:t>
      </w:r>
      <w:r>
        <w:rPr>
          <w:rFonts w:ascii="黑体" w:eastAsia="黑体" w:cs="黑体"/>
          <w:kern w:val="0"/>
          <w:sz w:val="28"/>
          <w:szCs w:val="28"/>
        </w:rPr>
        <w:t xml:space="preserve"> </w:t>
      </w:r>
    </w:p>
    <w:p w14:paraId="17DAC086">
      <w:pPr>
        <w:autoSpaceDE w:val="0"/>
        <w:autoSpaceDN w:val="0"/>
        <w:adjustRightInd w:val="0"/>
        <w:spacing w:line="360" w:lineRule="auto"/>
        <w:ind w:left="1416" w:leftChars="590"/>
        <w:rPr>
          <w:rFonts w:hint="eastAsia" w:ascii="宋体" w:cs="宋体"/>
          <w:kern w:val="0"/>
          <w:sz w:val="28"/>
          <w:szCs w:val="28"/>
        </w:rPr>
      </w:pPr>
      <w:r>
        <w:rPr>
          <w:rFonts w:hint="eastAsia" w:ascii="宋体" w:cs="宋体"/>
          <w:kern w:val="0"/>
          <w:sz w:val="28"/>
          <w:szCs w:val="28"/>
        </w:rPr>
        <w:t>刘欣萌（中国计量科学研究院）</w:t>
      </w:r>
    </w:p>
    <w:p w14:paraId="7D9906CA">
      <w:pPr>
        <w:autoSpaceDE w:val="0"/>
        <w:autoSpaceDN w:val="0"/>
        <w:adjustRightInd w:val="0"/>
        <w:spacing w:line="360" w:lineRule="auto"/>
        <w:ind w:left="1416" w:leftChars="590"/>
        <w:rPr>
          <w:rFonts w:hint="eastAsia" w:ascii="宋体" w:cs="宋体" w:eastAsiaTheme="minorEastAsia"/>
          <w:kern w:val="0"/>
          <w:sz w:val="28"/>
          <w:szCs w:val="28"/>
          <w:lang w:val="en-US" w:eastAsia="zh-CN"/>
        </w:rPr>
      </w:pPr>
      <w:r>
        <w:rPr>
          <w:rFonts w:hint="eastAsia" w:ascii="宋体" w:cs="宋体"/>
          <w:kern w:val="0"/>
          <w:sz w:val="28"/>
          <w:szCs w:val="28"/>
        </w:rPr>
        <w:t>刘宏欣</w:t>
      </w:r>
      <w:r>
        <w:rPr>
          <w:rFonts w:hint="eastAsia" w:ascii="宋体" w:cs="宋体"/>
          <w:kern w:val="0"/>
          <w:sz w:val="28"/>
          <w:szCs w:val="28"/>
          <w:lang w:eastAsia="zh-CN"/>
        </w:rPr>
        <w:t>（苏州市计量测试院）</w:t>
      </w:r>
    </w:p>
    <w:p w14:paraId="0B7B70B4">
      <w:pPr>
        <w:autoSpaceDE w:val="0"/>
        <w:autoSpaceDN w:val="0"/>
        <w:adjustRightInd w:val="0"/>
        <w:spacing w:line="360" w:lineRule="auto"/>
        <w:ind w:left="1416" w:leftChars="590"/>
        <w:rPr>
          <w:rFonts w:hint="eastAsia" w:ascii="宋体" w:cs="宋体"/>
          <w:kern w:val="0"/>
          <w:sz w:val="28"/>
          <w:szCs w:val="28"/>
        </w:rPr>
      </w:pPr>
      <w:bookmarkStart w:id="2" w:name="OLE_LINK5"/>
      <w:r>
        <w:rPr>
          <w:rFonts w:hint="eastAsia" w:ascii="宋体" w:cs="宋体"/>
          <w:kern w:val="0"/>
          <w:sz w:val="28"/>
          <w:szCs w:val="28"/>
        </w:rPr>
        <w:t>罗</w:t>
      </w:r>
      <w:r>
        <w:rPr>
          <w:rFonts w:hint="eastAsia" w:ascii="宋体" w:cs="宋体"/>
          <w:kern w:val="0"/>
          <w:sz w:val="28"/>
          <w:szCs w:val="28"/>
          <w:lang w:val="en-US" w:eastAsia="zh-CN"/>
        </w:rPr>
        <w:t xml:space="preserve">  </w:t>
      </w:r>
      <w:r>
        <w:rPr>
          <w:rFonts w:hint="eastAsia" w:ascii="宋体" w:cs="宋体"/>
          <w:kern w:val="0"/>
          <w:sz w:val="28"/>
          <w:szCs w:val="28"/>
        </w:rPr>
        <w:t>斌（深圳市计量质量检测研究院）</w:t>
      </w:r>
    </w:p>
    <w:bookmarkEnd w:id="2"/>
    <w:p w14:paraId="737479E8">
      <w:pPr>
        <w:autoSpaceDE w:val="0"/>
        <w:autoSpaceDN w:val="0"/>
        <w:adjustRightInd w:val="0"/>
        <w:spacing w:line="360" w:lineRule="auto"/>
        <w:ind w:left="1416" w:leftChars="590"/>
        <w:rPr>
          <w:rFonts w:hint="eastAsia" w:ascii="宋体" w:cs="宋体" w:eastAsiaTheme="minorEastAsia"/>
          <w:kern w:val="0"/>
          <w:sz w:val="28"/>
          <w:szCs w:val="28"/>
          <w:lang w:val="en-US" w:eastAsia="zh-CN"/>
        </w:rPr>
      </w:pPr>
      <w:r>
        <w:rPr>
          <w:rFonts w:hint="eastAsia" w:ascii="宋体" w:cs="宋体"/>
          <w:kern w:val="0"/>
          <w:sz w:val="28"/>
          <w:szCs w:val="28"/>
          <w:lang w:eastAsia="zh-CN"/>
        </w:rPr>
        <w:t>刘玉龙（苏州市计量测试院）</w:t>
      </w:r>
    </w:p>
    <w:p w14:paraId="6DA9F066">
      <w:pPr>
        <w:autoSpaceDE w:val="0"/>
        <w:autoSpaceDN w:val="0"/>
        <w:adjustRightInd w:val="0"/>
        <w:spacing w:line="360" w:lineRule="auto"/>
        <w:ind w:left="1416" w:leftChars="590"/>
        <w:rPr>
          <w:rFonts w:ascii="宋体" w:cs="宋体"/>
          <w:kern w:val="0"/>
          <w:sz w:val="28"/>
          <w:szCs w:val="28"/>
        </w:rPr>
      </w:pPr>
      <w:r>
        <w:rPr>
          <w:rFonts w:hint="eastAsia" w:ascii="宋体" w:cs="宋体"/>
          <w:kern w:val="0"/>
          <w:sz w:val="28"/>
          <w:szCs w:val="28"/>
        </w:rPr>
        <w:t>张</w:t>
      </w:r>
      <w:r>
        <w:rPr>
          <w:rFonts w:hint="eastAsia" w:ascii="宋体" w:cs="宋体"/>
          <w:kern w:val="0"/>
          <w:sz w:val="28"/>
          <w:szCs w:val="28"/>
          <w:lang w:val="en-US" w:eastAsia="zh-CN"/>
        </w:rPr>
        <w:t xml:space="preserve">  </w:t>
      </w:r>
      <w:r>
        <w:rPr>
          <w:rFonts w:hint="eastAsia" w:ascii="宋体" w:cs="宋体"/>
          <w:kern w:val="0"/>
          <w:sz w:val="28"/>
          <w:szCs w:val="28"/>
        </w:rPr>
        <w:t>斌（深圳市计量质量检测研究院）</w:t>
      </w:r>
    </w:p>
    <w:p w14:paraId="10A55AC9">
      <w:pPr>
        <w:jc w:val="center"/>
        <w:rPr>
          <w:rFonts w:ascii="黑体" w:eastAsia="黑体"/>
          <w:kern w:val="0"/>
          <w:sz w:val="32"/>
          <w:szCs w:val="32"/>
        </w:rPr>
      </w:pPr>
    </w:p>
    <w:p w14:paraId="4E720DEE">
      <w:pPr>
        <w:widowControl/>
        <w:jc w:val="left"/>
      </w:pPr>
      <w:r>
        <w:br w:type="page"/>
      </w:r>
    </w:p>
    <w:p w14:paraId="2A0BF35B">
      <w:pPr>
        <w:autoSpaceDE w:val="0"/>
        <w:autoSpaceDN w:val="0"/>
        <w:adjustRightInd w:val="0"/>
        <w:spacing w:line="360" w:lineRule="auto"/>
        <w:ind w:left="1416" w:leftChars="590"/>
        <w:sectPr>
          <w:footerReference r:id="rId13" w:type="first"/>
          <w:footerReference r:id="rId12" w:type="default"/>
          <w:pgSz w:w="11906" w:h="16838"/>
          <w:pgMar w:top="1440" w:right="1800" w:bottom="1440" w:left="1800" w:header="851" w:footer="992" w:gutter="0"/>
          <w:pgNumType w:fmt="upperRoman" w:start="1"/>
          <w:cols w:space="425" w:num="1"/>
          <w:titlePg/>
          <w:docGrid w:type="lines" w:linePitch="326" w:charSpace="0"/>
        </w:sectPr>
      </w:pPr>
    </w:p>
    <w:p w14:paraId="283BE24C">
      <w:pPr>
        <w:autoSpaceDE w:val="0"/>
        <w:autoSpaceDN w:val="0"/>
        <w:adjustRightInd w:val="0"/>
        <w:spacing w:line="360" w:lineRule="auto"/>
        <w:ind w:left="1416" w:leftChars="590"/>
      </w:pPr>
    </w:p>
    <w:p w14:paraId="12885D1F">
      <w:pPr>
        <w:pStyle w:val="7"/>
        <w:tabs>
          <w:tab w:val="right" w:leader="dot" w:pos="8636"/>
        </w:tabs>
        <w:jc w:val="center"/>
      </w:pPr>
      <w:r>
        <w:rPr>
          <w:rFonts w:hint="eastAsia" w:ascii="黑体" w:eastAsia="黑体"/>
          <w:sz w:val="44"/>
          <w:szCs w:val="44"/>
        </w:rPr>
        <w:t>目  录</w:t>
      </w:r>
    </w:p>
    <w:p w14:paraId="34F7BB96">
      <w:pPr>
        <w:pStyle w:val="7"/>
        <w:tabs>
          <w:tab w:val="right" w:leader="dot" w:pos="8636"/>
        </w:tabs>
        <w:rPr>
          <w:rFonts w:hAnsi="宋体"/>
          <w:color w:val="D9D9D9" w:themeColor="background1" w:themeShade="D9"/>
          <w:sz w:val="24"/>
          <w:szCs w:val="24"/>
        </w:rPr>
      </w:pPr>
    </w:p>
    <w:p w14:paraId="0435086E">
      <w:pPr>
        <w:pStyle w:val="7"/>
        <w:tabs>
          <w:tab w:val="right" w:leader="dot" w:pos="8306"/>
        </w:tabs>
      </w:pPr>
      <w:r>
        <w:rPr>
          <w:rFonts w:asciiTheme="minorEastAsia" w:hAnsiTheme="minorEastAsia" w:eastAsiaTheme="minorEastAsia"/>
          <w:color w:val="D9D9D9" w:themeColor="background1" w:themeShade="D9"/>
          <w:sz w:val="24"/>
          <w:szCs w:val="24"/>
        </w:rPr>
        <w:fldChar w:fldCharType="begin"/>
      </w:r>
      <w:r>
        <w:rPr>
          <w:rFonts w:asciiTheme="minorEastAsia" w:hAnsiTheme="minorEastAsia" w:eastAsiaTheme="minorEastAsia"/>
          <w:color w:val="D9D9D9" w:themeColor="background1" w:themeShade="D9"/>
          <w:sz w:val="24"/>
          <w:szCs w:val="24"/>
        </w:rPr>
        <w:instrText xml:space="preserve"> TOC \o "1-3" \h \z \u </w:instrText>
      </w:r>
      <w:r>
        <w:rPr>
          <w:rFonts w:asciiTheme="minorEastAsia" w:hAnsiTheme="minorEastAsia" w:eastAsiaTheme="minorEastAsia"/>
          <w:color w:val="D9D9D9" w:themeColor="background1" w:themeShade="D9"/>
          <w:sz w:val="24"/>
          <w:szCs w:val="24"/>
        </w:rPr>
        <w:fldChar w:fldCharType="separate"/>
      </w:r>
      <w:r>
        <w:rPr>
          <w:rFonts w:asciiTheme="minorEastAsia" w:hAnsiTheme="minorEastAsia" w:eastAsiaTheme="minorEastAsia"/>
          <w:color w:val="D9D9D9" w:themeColor="background1" w:themeShade="D9"/>
          <w:szCs w:val="24"/>
        </w:rPr>
        <w:fldChar w:fldCharType="begin"/>
      </w:r>
      <w:r>
        <w:rPr>
          <w:rFonts w:asciiTheme="minorEastAsia" w:hAnsiTheme="minorEastAsia" w:eastAsiaTheme="minorEastAsia"/>
          <w:color w:val="0020C3" w:themeColor="hyperlink" w:themeShade="D9"/>
          <w:szCs w:val="24"/>
        </w:rPr>
        <w:instrText xml:space="preserve"> HYPERLINK \l _Toc3805 </w:instrText>
      </w:r>
      <w:r>
        <w:rPr>
          <w:rFonts w:asciiTheme="minorEastAsia" w:hAnsiTheme="minorEastAsia" w:eastAsiaTheme="minorEastAsia"/>
          <w:color w:val="0020C3" w:themeColor="hyperlink" w:themeShade="D9"/>
          <w:szCs w:val="24"/>
        </w:rPr>
        <w:fldChar w:fldCharType="separate"/>
      </w:r>
      <w:r>
        <w:rPr>
          <w:rFonts w:hint="eastAsia" w:hAnsi="宋体"/>
          <w:szCs w:val="44"/>
        </w:rPr>
        <w:t>引</w:t>
      </w:r>
      <w:r>
        <w:rPr>
          <w:rFonts w:ascii="Times New Roman"/>
          <w:szCs w:val="44"/>
        </w:rPr>
        <w:t xml:space="preserve"> </w:t>
      </w:r>
      <w:r>
        <w:rPr>
          <w:rFonts w:hint="eastAsia" w:ascii="Times New Roman"/>
          <w:szCs w:val="44"/>
        </w:rPr>
        <w:t>言</w:t>
      </w:r>
      <w:r>
        <w:tab/>
      </w:r>
      <w:r>
        <w:fldChar w:fldCharType="begin"/>
      </w:r>
      <w:r>
        <w:instrText xml:space="preserve"> PAGEREF _Toc3805 \h </w:instrText>
      </w:r>
      <w:r>
        <w:fldChar w:fldCharType="separate"/>
      </w:r>
      <w:r>
        <w:t>II</w:t>
      </w:r>
      <w:r>
        <w:fldChar w:fldCharType="end"/>
      </w:r>
      <w:r>
        <w:rPr>
          <w:rFonts w:asciiTheme="minorEastAsia" w:hAnsiTheme="minorEastAsia" w:eastAsiaTheme="minorEastAsia"/>
          <w:color w:val="D9D9D9" w:themeColor="background1" w:themeShade="D9"/>
          <w:szCs w:val="24"/>
        </w:rPr>
        <w:fldChar w:fldCharType="end"/>
      </w:r>
    </w:p>
    <w:p w14:paraId="5DA1A140">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_Toc18041 </w:instrText>
      </w:r>
      <w:r>
        <w:rPr>
          <w:rFonts w:asciiTheme="minorEastAsia" w:hAnsiTheme="minorEastAsia"/>
          <w:color w:val="0020C3" w:themeColor="hyperlink" w:themeShade="D9"/>
        </w:rPr>
        <w:fldChar w:fldCharType="separate"/>
      </w:r>
      <w:r>
        <w:t xml:space="preserve">1  </w:t>
      </w:r>
      <w:r>
        <w:rPr>
          <w:rFonts w:hint="eastAsia"/>
        </w:rPr>
        <w:t>范围</w:t>
      </w:r>
      <w:r>
        <w:tab/>
      </w:r>
      <w:r>
        <w:fldChar w:fldCharType="begin"/>
      </w:r>
      <w:r>
        <w:instrText xml:space="preserve"> PAGEREF _Toc18041 \h </w:instrText>
      </w:r>
      <w:r>
        <w:fldChar w:fldCharType="separate"/>
      </w:r>
      <w:r>
        <w:t>3</w:t>
      </w:r>
      <w:r>
        <w:fldChar w:fldCharType="end"/>
      </w:r>
      <w:r>
        <w:rPr>
          <w:rFonts w:asciiTheme="minorEastAsia" w:hAnsiTheme="minorEastAsia"/>
          <w:color w:val="D9D9D9" w:themeColor="background1" w:themeShade="D9"/>
        </w:rPr>
        <w:fldChar w:fldCharType="end"/>
      </w:r>
    </w:p>
    <w:p w14:paraId="1867620E">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_Toc20144 </w:instrText>
      </w:r>
      <w:r>
        <w:rPr>
          <w:rFonts w:asciiTheme="minorEastAsia" w:hAnsiTheme="minorEastAsia"/>
          <w:color w:val="0020C3" w:themeColor="hyperlink" w:themeShade="D9"/>
        </w:rPr>
        <w:fldChar w:fldCharType="separate"/>
      </w:r>
      <w:r>
        <w:rPr>
          <w:rFonts w:hint="eastAsia"/>
        </w:rPr>
        <w:t>2</w:t>
      </w:r>
      <w:r>
        <w:t xml:space="preserve"> </w:t>
      </w:r>
      <w:r>
        <w:rPr>
          <w:rFonts w:hint="eastAsia"/>
        </w:rPr>
        <w:t xml:space="preserve"> </w:t>
      </w:r>
      <w:r>
        <w:rPr>
          <w:rFonts w:hint="eastAsia"/>
          <w:lang w:val="en-US" w:eastAsia="zh-CN"/>
        </w:rPr>
        <w:t>引用文件</w:t>
      </w:r>
      <w:r>
        <w:tab/>
      </w:r>
      <w:r>
        <w:fldChar w:fldCharType="begin"/>
      </w:r>
      <w:r>
        <w:instrText xml:space="preserve"> PAGEREF _Toc20144 \h </w:instrText>
      </w:r>
      <w:r>
        <w:fldChar w:fldCharType="separate"/>
      </w:r>
      <w:r>
        <w:t>3</w:t>
      </w:r>
      <w:r>
        <w:fldChar w:fldCharType="end"/>
      </w:r>
      <w:r>
        <w:rPr>
          <w:rFonts w:asciiTheme="minorEastAsia" w:hAnsiTheme="minorEastAsia"/>
          <w:color w:val="D9D9D9" w:themeColor="background1" w:themeShade="D9"/>
        </w:rPr>
        <w:fldChar w:fldCharType="end"/>
      </w:r>
    </w:p>
    <w:p w14:paraId="6C9016E1">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_Toc8725 </w:instrText>
      </w:r>
      <w:r>
        <w:rPr>
          <w:rFonts w:asciiTheme="minorEastAsia" w:hAnsiTheme="minorEastAsia"/>
          <w:color w:val="0020C3" w:themeColor="hyperlink" w:themeShade="D9"/>
        </w:rPr>
        <w:fldChar w:fldCharType="separate"/>
      </w:r>
      <w:r>
        <w:rPr>
          <w:rFonts w:hint="eastAsia"/>
          <w:lang w:val="en-US" w:eastAsia="zh-CN"/>
        </w:rPr>
        <w:t>3</w:t>
      </w:r>
      <w:r>
        <w:t xml:space="preserve"> </w:t>
      </w:r>
      <w:r>
        <w:rPr>
          <w:rFonts w:hint="eastAsia"/>
        </w:rPr>
        <w:t xml:space="preserve"> 术语</w:t>
      </w:r>
      <w:r>
        <w:tab/>
      </w:r>
      <w:r>
        <w:fldChar w:fldCharType="begin"/>
      </w:r>
      <w:r>
        <w:instrText xml:space="preserve"> PAGEREF _Toc8725 \h </w:instrText>
      </w:r>
      <w:r>
        <w:fldChar w:fldCharType="separate"/>
      </w:r>
      <w:r>
        <w:t>3</w:t>
      </w:r>
      <w:r>
        <w:fldChar w:fldCharType="end"/>
      </w:r>
      <w:r>
        <w:rPr>
          <w:rFonts w:asciiTheme="minorEastAsia" w:hAnsiTheme="minorEastAsia"/>
          <w:color w:val="D9D9D9" w:themeColor="background1" w:themeShade="D9"/>
        </w:rPr>
        <w:fldChar w:fldCharType="end"/>
      </w:r>
    </w:p>
    <w:p w14:paraId="4F73F1A3">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_Toc14393 </w:instrText>
      </w:r>
      <w:r>
        <w:rPr>
          <w:rFonts w:asciiTheme="minorEastAsia" w:hAnsiTheme="minorEastAsia"/>
          <w:color w:val="0020C3" w:themeColor="hyperlink" w:themeShade="D9"/>
        </w:rPr>
        <w:fldChar w:fldCharType="separate"/>
      </w:r>
      <w:r>
        <w:rPr>
          <w:rFonts w:hint="eastAsia"/>
          <w:lang w:val="en-US" w:eastAsia="zh-CN"/>
        </w:rPr>
        <w:t>4</w:t>
      </w:r>
      <w:r>
        <w:rPr>
          <w:rFonts w:hint="eastAsia"/>
        </w:rPr>
        <w:t xml:space="preserve">  概述</w:t>
      </w:r>
      <w:r>
        <w:tab/>
      </w:r>
      <w:r>
        <w:fldChar w:fldCharType="begin"/>
      </w:r>
      <w:r>
        <w:instrText xml:space="preserve"> PAGEREF _Toc14393 \h </w:instrText>
      </w:r>
      <w:r>
        <w:fldChar w:fldCharType="separate"/>
      </w:r>
      <w:r>
        <w:t>3</w:t>
      </w:r>
      <w:r>
        <w:fldChar w:fldCharType="end"/>
      </w:r>
      <w:r>
        <w:rPr>
          <w:rFonts w:asciiTheme="minorEastAsia" w:hAnsiTheme="minorEastAsia"/>
          <w:color w:val="D9D9D9" w:themeColor="background1" w:themeShade="D9"/>
        </w:rPr>
        <w:fldChar w:fldCharType="end"/>
      </w:r>
    </w:p>
    <w:p w14:paraId="21186822">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_Toc1929 </w:instrText>
      </w:r>
      <w:r>
        <w:rPr>
          <w:rFonts w:asciiTheme="minorEastAsia" w:hAnsiTheme="minorEastAsia"/>
          <w:color w:val="0020C3" w:themeColor="hyperlink" w:themeShade="D9"/>
        </w:rPr>
        <w:fldChar w:fldCharType="separate"/>
      </w:r>
      <w:r>
        <w:rPr>
          <w:rFonts w:hint="eastAsia"/>
          <w:lang w:val="en-US" w:eastAsia="zh-CN"/>
        </w:rPr>
        <w:t>5</w:t>
      </w:r>
      <w:r>
        <w:rPr>
          <w:rFonts w:hint="eastAsia"/>
        </w:rPr>
        <w:t xml:space="preserve">  计量特性</w:t>
      </w:r>
      <w:r>
        <w:tab/>
      </w:r>
      <w:r>
        <w:fldChar w:fldCharType="begin"/>
      </w:r>
      <w:r>
        <w:instrText xml:space="preserve"> PAGEREF _Toc1929 \h </w:instrText>
      </w:r>
      <w:r>
        <w:fldChar w:fldCharType="separate"/>
      </w:r>
      <w:r>
        <w:t>3</w:t>
      </w:r>
      <w:r>
        <w:fldChar w:fldCharType="end"/>
      </w:r>
      <w:r>
        <w:rPr>
          <w:rFonts w:asciiTheme="minorEastAsia" w:hAnsiTheme="minorEastAsia"/>
          <w:color w:val="D9D9D9" w:themeColor="background1" w:themeShade="D9"/>
        </w:rPr>
        <w:fldChar w:fldCharType="end"/>
      </w:r>
    </w:p>
    <w:p w14:paraId="29485F6A">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_Toc23634 </w:instrText>
      </w:r>
      <w:r>
        <w:rPr>
          <w:rFonts w:asciiTheme="minorEastAsia" w:hAnsiTheme="minorEastAsia"/>
          <w:color w:val="0020C3" w:themeColor="hyperlink" w:themeShade="D9"/>
        </w:rPr>
        <w:fldChar w:fldCharType="separate"/>
      </w:r>
      <w:r>
        <w:rPr>
          <w:rFonts w:hint="eastAsia"/>
          <w:lang w:val="en-US" w:eastAsia="zh-CN"/>
        </w:rPr>
        <w:t>6</w:t>
      </w:r>
      <w:r>
        <w:t xml:space="preserve">  校准条件</w:t>
      </w:r>
      <w:r>
        <w:tab/>
      </w:r>
      <w:r>
        <w:fldChar w:fldCharType="begin"/>
      </w:r>
      <w:r>
        <w:instrText xml:space="preserve"> PAGEREF _Toc23634 \h </w:instrText>
      </w:r>
      <w:r>
        <w:fldChar w:fldCharType="separate"/>
      </w:r>
      <w:r>
        <w:t>4</w:t>
      </w:r>
      <w:r>
        <w:fldChar w:fldCharType="end"/>
      </w:r>
      <w:r>
        <w:rPr>
          <w:rFonts w:asciiTheme="minorEastAsia" w:hAnsiTheme="minorEastAsia"/>
          <w:color w:val="D9D9D9" w:themeColor="background1" w:themeShade="D9"/>
        </w:rPr>
        <w:fldChar w:fldCharType="end"/>
      </w:r>
    </w:p>
    <w:p w14:paraId="630EABD1">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_Toc28158 </w:instrText>
      </w:r>
      <w:r>
        <w:rPr>
          <w:rFonts w:asciiTheme="minorEastAsia" w:hAnsiTheme="minorEastAsia"/>
          <w:color w:val="0020C3" w:themeColor="hyperlink" w:themeShade="D9"/>
        </w:rPr>
        <w:fldChar w:fldCharType="separate"/>
      </w:r>
      <w:r>
        <w:rPr>
          <w:rFonts w:hint="eastAsia"/>
          <w:lang w:val="en-US" w:eastAsia="zh-CN"/>
        </w:rPr>
        <w:t>7</w:t>
      </w:r>
      <w:r>
        <w:rPr>
          <w:rFonts w:hint="eastAsia"/>
        </w:rPr>
        <w:t xml:space="preserve">  校准项目和校准方法</w:t>
      </w:r>
      <w:r>
        <w:tab/>
      </w:r>
      <w:r>
        <w:fldChar w:fldCharType="begin"/>
      </w:r>
      <w:r>
        <w:instrText xml:space="preserve"> PAGEREF _Toc28158 \h </w:instrText>
      </w:r>
      <w:r>
        <w:fldChar w:fldCharType="separate"/>
      </w:r>
      <w:r>
        <w:t>4</w:t>
      </w:r>
      <w:r>
        <w:fldChar w:fldCharType="end"/>
      </w:r>
      <w:r>
        <w:rPr>
          <w:rFonts w:asciiTheme="minorEastAsia" w:hAnsiTheme="minorEastAsia"/>
          <w:color w:val="D9D9D9" w:themeColor="background1" w:themeShade="D9"/>
        </w:rPr>
        <w:fldChar w:fldCharType="end"/>
      </w:r>
    </w:p>
    <w:p w14:paraId="202775D3">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_Toc16467 </w:instrText>
      </w:r>
      <w:r>
        <w:rPr>
          <w:rFonts w:asciiTheme="minorEastAsia" w:hAnsiTheme="minorEastAsia"/>
          <w:color w:val="0020C3" w:themeColor="hyperlink" w:themeShade="D9"/>
        </w:rPr>
        <w:fldChar w:fldCharType="separate"/>
      </w:r>
      <w:r>
        <w:rPr>
          <w:rFonts w:hint="eastAsia"/>
          <w:lang w:val="en-US" w:eastAsia="zh-CN"/>
        </w:rPr>
        <w:t>8</w:t>
      </w:r>
      <w:r>
        <w:t xml:space="preserve">  </w:t>
      </w:r>
      <w:r>
        <w:rPr>
          <w:rFonts w:hint="eastAsia"/>
        </w:rPr>
        <w:t>校准结果表达</w:t>
      </w:r>
      <w:r>
        <w:tab/>
      </w:r>
      <w:r>
        <w:fldChar w:fldCharType="begin"/>
      </w:r>
      <w:r>
        <w:instrText xml:space="preserve"> PAGEREF _Toc16467 \h </w:instrText>
      </w:r>
      <w:r>
        <w:fldChar w:fldCharType="separate"/>
      </w:r>
      <w:r>
        <w:t>6</w:t>
      </w:r>
      <w:r>
        <w:fldChar w:fldCharType="end"/>
      </w:r>
      <w:r>
        <w:rPr>
          <w:rFonts w:asciiTheme="minorEastAsia" w:hAnsiTheme="minorEastAsia"/>
          <w:color w:val="D9D9D9" w:themeColor="background1" w:themeShade="D9"/>
        </w:rPr>
        <w:fldChar w:fldCharType="end"/>
      </w:r>
    </w:p>
    <w:p w14:paraId="60D79B58">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_Toc19702 </w:instrText>
      </w:r>
      <w:r>
        <w:rPr>
          <w:rFonts w:asciiTheme="minorEastAsia" w:hAnsiTheme="minorEastAsia"/>
          <w:color w:val="0020C3" w:themeColor="hyperlink" w:themeShade="D9"/>
        </w:rPr>
        <w:fldChar w:fldCharType="separate"/>
      </w:r>
      <w:r>
        <w:rPr>
          <w:rFonts w:hint="eastAsia"/>
          <w:lang w:val="en-US" w:eastAsia="zh-CN"/>
        </w:rPr>
        <w:t>9</w:t>
      </w:r>
      <w:r>
        <w:t xml:space="preserve">  复校时间间隔</w:t>
      </w:r>
      <w:r>
        <w:tab/>
      </w:r>
      <w:r>
        <w:fldChar w:fldCharType="begin"/>
      </w:r>
      <w:r>
        <w:instrText xml:space="preserve"> PAGEREF _Toc19702 \h </w:instrText>
      </w:r>
      <w:r>
        <w:fldChar w:fldCharType="separate"/>
      </w:r>
      <w:r>
        <w:t>6</w:t>
      </w:r>
      <w:r>
        <w:fldChar w:fldCharType="end"/>
      </w:r>
      <w:r>
        <w:rPr>
          <w:rFonts w:asciiTheme="minorEastAsia" w:hAnsiTheme="minorEastAsia"/>
          <w:color w:val="D9D9D9" w:themeColor="background1" w:themeShade="D9"/>
        </w:rPr>
        <w:fldChar w:fldCharType="end"/>
      </w:r>
    </w:p>
    <w:p w14:paraId="26F8AEBA">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_Toc3867 </w:instrText>
      </w:r>
      <w:r>
        <w:rPr>
          <w:rFonts w:asciiTheme="minorEastAsia" w:hAnsiTheme="minorEastAsia"/>
          <w:color w:val="0020C3" w:themeColor="hyperlink" w:themeShade="D9"/>
        </w:rPr>
        <w:fldChar w:fldCharType="separate"/>
      </w:r>
      <w:r>
        <w:rPr>
          <w:rFonts w:hint="eastAsia"/>
        </w:rPr>
        <w:t>附录A</w:t>
      </w:r>
      <w:r>
        <w:rPr>
          <w:rFonts w:hint="eastAsia"/>
          <w:lang w:val="en-US" w:eastAsia="zh-CN"/>
        </w:rPr>
        <w:t xml:space="preserve"> </w:t>
      </w:r>
      <w:r>
        <w:rPr>
          <w:rFonts w:hint="eastAsia"/>
        </w:rPr>
        <w:t>校准证书内页</w:t>
      </w:r>
      <w:r>
        <w:rPr>
          <w:rFonts w:hint="eastAsia"/>
          <w:lang w:val="en-US" w:eastAsia="zh-CN"/>
        </w:rPr>
        <w:t>参考格式</w:t>
      </w:r>
      <w:r>
        <w:tab/>
      </w:r>
      <w:r>
        <w:fldChar w:fldCharType="begin"/>
      </w:r>
      <w:r>
        <w:instrText xml:space="preserve"> PAGEREF _Toc3867 \h </w:instrText>
      </w:r>
      <w:r>
        <w:fldChar w:fldCharType="separate"/>
      </w:r>
      <w:r>
        <w:t>7</w:t>
      </w:r>
      <w:r>
        <w:fldChar w:fldCharType="end"/>
      </w:r>
      <w:r>
        <w:rPr>
          <w:rFonts w:asciiTheme="minorEastAsia" w:hAnsiTheme="minorEastAsia"/>
          <w:color w:val="D9D9D9" w:themeColor="background1" w:themeShade="D9"/>
        </w:rPr>
        <w:fldChar w:fldCharType="end"/>
      </w:r>
    </w:p>
    <w:p w14:paraId="44B57D6C">
      <w:pPr>
        <w:pStyle w:val="7"/>
        <w:tabs>
          <w:tab w:val="right" w:leader="dot" w:pos="8306"/>
        </w:tabs>
      </w:pPr>
      <w:r>
        <w:rPr>
          <w:rFonts w:asciiTheme="minorEastAsia" w:hAnsiTheme="minorEastAsia"/>
          <w:color w:val="D9D9D9" w:themeColor="background1" w:themeShade="D9"/>
        </w:rPr>
        <w:fldChar w:fldCharType="begin"/>
      </w:r>
      <w:r>
        <w:rPr>
          <w:rFonts w:asciiTheme="minorEastAsia" w:hAnsiTheme="minorEastAsia"/>
          <w:color w:val="0020C3" w:themeColor="hyperlink" w:themeShade="D9"/>
        </w:rPr>
        <w:instrText xml:space="preserve"> HYPERLINK \l _Toc30637 </w:instrText>
      </w:r>
      <w:r>
        <w:rPr>
          <w:rFonts w:asciiTheme="minorEastAsia" w:hAnsiTheme="minorEastAsia"/>
          <w:color w:val="0020C3" w:themeColor="hyperlink" w:themeShade="D9"/>
        </w:rPr>
        <w:fldChar w:fldCharType="separate"/>
      </w:r>
      <w:r>
        <w:rPr>
          <w:rFonts w:hint="eastAsia"/>
        </w:rPr>
        <w:t>附录</w:t>
      </w:r>
      <w:r>
        <w:rPr>
          <w:rFonts w:hint="eastAsia"/>
          <w:lang w:val="en-US" w:eastAsia="zh-CN"/>
        </w:rPr>
        <w:t xml:space="preserve">B </w:t>
      </w:r>
      <w:r>
        <w:rPr>
          <w:bCs/>
        </w:rPr>
        <w:t>测量不确定度</w:t>
      </w:r>
      <w:r>
        <w:rPr>
          <w:rFonts w:hint="eastAsia"/>
          <w:bCs/>
        </w:rPr>
        <w:t>评定示例</w:t>
      </w:r>
      <w:r>
        <w:tab/>
      </w:r>
      <w:r>
        <w:fldChar w:fldCharType="begin"/>
      </w:r>
      <w:r>
        <w:instrText xml:space="preserve"> PAGEREF _Toc30637 \h </w:instrText>
      </w:r>
      <w:r>
        <w:fldChar w:fldCharType="separate"/>
      </w:r>
      <w:r>
        <w:t>8</w:t>
      </w:r>
      <w:r>
        <w:fldChar w:fldCharType="end"/>
      </w:r>
      <w:r>
        <w:rPr>
          <w:rFonts w:asciiTheme="minorEastAsia" w:hAnsiTheme="minorEastAsia"/>
          <w:color w:val="D9D9D9" w:themeColor="background1" w:themeShade="D9"/>
        </w:rPr>
        <w:fldChar w:fldCharType="end"/>
      </w:r>
    </w:p>
    <w:p w14:paraId="6CED4462">
      <w:pPr>
        <w:autoSpaceDE w:val="0"/>
        <w:autoSpaceDN w:val="0"/>
        <w:adjustRightInd w:val="0"/>
        <w:spacing w:line="360" w:lineRule="auto"/>
        <w:ind w:left="1416" w:leftChars="590"/>
        <w:sectPr>
          <w:type w:val="continuous"/>
          <w:pgSz w:w="11906" w:h="16838"/>
          <w:pgMar w:top="1440" w:right="1800" w:bottom="1440" w:left="1800" w:header="851" w:footer="992" w:gutter="0"/>
          <w:pgNumType w:fmt="upperRoman" w:start="1"/>
          <w:cols w:space="425" w:num="1"/>
          <w:titlePg/>
          <w:docGrid w:type="lines" w:linePitch="326" w:charSpace="0"/>
        </w:sectPr>
      </w:pPr>
      <w:r>
        <w:rPr>
          <w:rFonts w:asciiTheme="minorEastAsia" w:hAnsiTheme="minorEastAsia"/>
          <w:color w:val="D9D9D9" w:themeColor="background1" w:themeShade="D9"/>
        </w:rPr>
        <w:fldChar w:fldCharType="end"/>
      </w:r>
    </w:p>
    <w:p w14:paraId="3B5394FD">
      <w:pPr>
        <w:pStyle w:val="13"/>
        <w:numPr>
          <w:ilvl w:val="0"/>
          <w:numId w:val="0"/>
        </w:numPr>
        <w:spacing w:before="640" w:after="560"/>
        <w:rPr>
          <w:rFonts w:ascii="Times New Roman"/>
          <w:sz w:val="44"/>
          <w:szCs w:val="44"/>
        </w:rPr>
      </w:pPr>
      <w:bookmarkStart w:id="3" w:name="_Toc8568"/>
      <w:bookmarkStart w:id="4" w:name="_Toc519778258"/>
      <w:bookmarkStart w:id="5" w:name="_Toc932"/>
      <w:bookmarkStart w:id="6" w:name="_Toc27728"/>
      <w:bookmarkStart w:id="7" w:name="_Toc6684"/>
      <w:bookmarkStart w:id="8" w:name="_Toc3805"/>
      <w:bookmarkStart w:id="9" w:name="_Toc14902"/>
      <w:r>
        <w:rPr>
          <w:rFonts w:hint="eastAsia" w:hAnsi="宋体"/>
          <w:sz w:val="44"/>
          <w:szCs w:val="44"/>
        </w:rPr>
        <w:t>引</w:t>
      </w:r>
      <w:r>
        <w:rPr>
          <w:rFonts w:ascii="Times New Roman"/>
          <w:sz w:val="44"/>
          <w:szCs w:val="44"/>
        </w:rPr>
        <w:t xml:space="preserve"> </w:t>
      </w:r>
      <w:r>
        <w:rPr>
          <w:rFonts w:hint="eastAsia" w:ascii="Times New Roman"/>
          <w:sz w:val="44"/>
          <w:szCs w:val="44"/>
        </w:rPr>
        <w:t>言</w:t>
      </w:r>
      <w:bookmarkEnd w:id="3"/>
      <w:bookmarkEnd w:id="4"/>
      <w:bookmarkEnd w:id="5"/>
      <w:bookmarkEnd w:id="6"/>
      <w:bookmarkEnd w:id="7"/>
      <w:bookmarkEnd w:id="8"/>
      <w:bookmarkEnd w:id="9"/>
    </w:p>
    <w:p w14:paraId="352C0968">
      <w:pPr>
        <w:pStyle w:val="14"/>
        <w:numPr>
          <w:ilvl w:val="0"/>
          <w:numId w:val="2"/>
        </w:numPr>
        <w:adjustRightInd w:val="0"/>
        <w:snapToGrid w:val="0"/>
        <w:spacing w:line="400" w:lineRule="atLeast"/>
        <w:ind w:firstLine="480"/>
      </w:pPr>
      <w:r>
        <w:rPr>
          <w:rFonts w:ascii="宋体" w:hAnsi="宋体"/>
        </w:rPr>
        <w:t>JJF 1001</w:t>
      </w:r>
      <w:r>
        <w:rPr>
          <w:rFonts w:hint="eastAsia" w:ascii="宋体" w:hAnsi="宋体"/>
        </w:rPr>
        <w:t>-2011</w:t>
      </w:r>
      <w:r>
        <w:rPr>
          <w:rFonts w:ascii="宋体" w:hAnsi="宋体"/>
        </w:rPr>
        <w:t>《</w:t>
      </w:r>
      <w:r>
        <w:rPr>
          <w:rFonts w:hint="eastAsia" w:ascii="宋体" w:hAnsi="宋体"/>
        </w:rPr>
        <w:t>通用计量术语及定义</w:t>
      </w:r>
      <w:r>
        <w:rPr>
          <w:rFonts w:ascii="宋体" w:hAnsi="宋体"/>
        </w:rPr>
        <w:t>》、</w:t>
      </w:r>
      <w:r>
        <w:rPr>
          <w:rFonts w:hint="eastAsia" w:ascii="宋体" w:hAnsi="宋体"/>
        </w:rPr>
        <w:t>JJF 1032-2005 《光学辐射计量名词及定义》、</w:t>
      </w:r>
      <w:r>
        <w:rPr>
          <w:rFonts w:ascii="宋体" w:hAnsi="宋体"/>
        </w:rPr>
        <w:t>JJF 1059</w:t>
      </w:r>
      <w:r>
        <w:rPr>
          <w:rFonts w:hint="eastAsia" w:ascii="宋体" w:hAnsi="宋体"/>
        </w:rPr>
        <w:t>.1-2012</w:t>
      </w:r>
      <w:r>
        <w:rPr>
          <w:rFonts w:ascii="宋体" w:hAnsi="宋体"/>
        </w:rPr>
        <w:t>《测量不确定度评定与表示》</w:t>
      </w:r>
      <w:r>
        <w:rPr>
          <w:rFonts w:hint="eastAsia" w:ascii="宋体" w:hAnsi="宋体"/>
        </w:rPr>
        <w:t>和</w:t>
      </w:r>
      <w:r>
        <w:rPr>
          <w:rFonts w:ascii="宋体" w:hAnsi="宋体"/>
        </w:rPr>
        <w:t>JJF 1071</w:t>
      </w:r>
      <w:r>
        <w:rPr>
          <w:rFonts w:hint="eastAsia" w:ascii="宋体" w:hAnsi="宋体"/>
        </w:rPr>
        <w:t>-2010</w:t>
      </w:r>
      <w:r>
        <w:rPr>
          <w:rFonts w:ascii="宋体" w:hAnsi="宋体"/>
        </w:rPr>
        <w:t>《国家计量校准规范编写规则》共同构成本</w:t>
      </w:r>
      <w:bookmarkStart w:id="10" w:name="OLE_LINK3"/>
      <w:r>
        <w:rPr>
          <w:rFonts w:ascii="宋体" w:hAnsi="宋体"/>
        </w:rPr>
        <w:t>校准</w:t>
      </w:r>
      <w:bookmarkEnd w:id="10"/>
      <w:r>
        <w:rPr>
          <w:rFonts w:hint="eastAsia" w:ascii="宋体" w:hAnsi="宋体"/>
        </w:rPr>
        <w:t>规范</w:t>
      </w:r>
      <w:r>
        <w:rPr>
          <w:rFonts w:hint="eastAsia" w:ascii="宋体" w:hAnsi="宋体"/>
          <w:lang w:val="en-US" w:eastAsia="zh-CN"/>
        </w:rPr>
        <w:t>编制</w:t>
      </w:r>
      <w:r>
        <w:rPr>
          <w:rFonts w:ascii="宋体" w:hAnsi="宋体"/>
        </w:rPr>
        <w:t>工作的基础性</w:t>
      </w:r>
      <w:r>
        <w:rPr>
          <w:rFonts w:hint="eastAsia" w:ascii="宋体" w:hAnsi="宋体"/>
        </w:rPr>
        <w:t>系列规范</w:t>
      </w:r>
      <w:r>
        <w:rPr>
          <w:rFonts w:ascii="宋体" w:hAnsi="宋体"/>
        </w:rPr>
        <w:t>。</w:t>
      </w:r>
    </w:p>
    <w:p w14:paraId="7014DD03">
      <w:pPr>
        <w:pStyle w:val="14"/>
        <w:adjustRightInd w:val="0"/>
        <w:snapToGrid w:val="0"/>
        <w:spacing w:line="400" w:lineRule="atLeast"/>
        <w:ind w:firstLine="480"/>
        <w:sectPr>
          <w:pgSz w:w="11906" w:h="16838"/>
          <w:pgMar w:top="1440" w:right="1800" w:bottom="1440" w:left="1800" w:header="851" w:footer="992" w:gutter="0"/>
          <w:pgNumType w:fmt="upperRoman"/>
          <w:cols w:space="425" w:num="1"/>
          <w:docGrid w:type="lines" w:linePitch="312" w:charSpace="0"/>
        </w:sectPr>
      </w:pPr>
      <w:r>
        <w:rPr>
          <w:rFonts w:hint="eastAsia"/>
        </w:rPr>
        <w:t>本规范为首次</w:t>
      </w:r>
      <w:r>
        <w:rPr>
          <w:rFonts w:hint="eastAsia"/>
          <w:lang w:val="en-US" w:eastAsia="zh-CN"/>
        </w:rPr>
        <w:t>发布</w:t>
      </w:r>
      <w:r>
        <w:rPr>
          <w:rFonts w:hint="eastAsia"/>
        </w:rPr>
        <w:t>。</w:t>
      </w:r>
    </w:p>
    <w:p w14:paraId="258734D7">
      <w:pPr>
        <w:pStyle w:val="14"/>
        <w:ind w:firstLine="640"/>
        <w:jc w:val="center"/>
        <w:rPr>
          <w:rFonts w:ascii="黑体" w:eastAsia="黑体"/>
          <w:kern w:val="0"/>
          <w:sz w:val="32"/>
          <w:szCs w:val="32"/>
        </w:rPr>
      </w:pPr>
    </w:p>
    <w:p w14:paraId="130568AA">
      <w:pPr>
        <w:pStyle w:val="14"/>
        <w:ind w:firstLine="640"/>
        <w:jc w:val="center"/>
        <w:rPr>
          <w:rFonts w:hint="eastAsia" w:ascii="黑体" w:eastAsia="黑体"/>
          <w:sz w:val="44"/>
          <w:szCs w:val="44"/>
          <w:lang w:eastAsia="zh-CN"/>
        </w:rPr>
      </w:pPr>
      <w:bookmarkStart w:id="11" w:name="OLE_LINK6"/>
      <w:bookmarkStart w:id="12" w:name="OLE_LINK24"/>
      <w:r>
        <w:rPr>
          <w:rFonts w:hint="eastAsia" w:ascii="黑体" w:eastAsia="黑体"/>
          <w:kern w:val="0"/>
          <w:sz w:val="32"/>
          <w:szCs w:val="32"/>
        </w:rPr>
        <w:t>Mini显示屏空间光色</w:t>
      </w:r>
      <w:bookmarkStart w:id="13" w:name="OLE_LINK15"/>
      <w:r>
        <w:rPr>
          <w:rFonts w:hint="eastAsia" w:ascii="黑体" w:eastAsia="黑体"/>
          <w:kern w:val="0"/>
          <w:sz w:val="32"/>
          <w:szCs w:val="32"/>
        </w:rPr>
        <w:t>特性</w:t>
      </w:r>
      <w:bookmarkEnd w:id="11"/>
      <w:bookmarkEnd w:id="13"/>
      <w:r>
        <w:rPr>
          <w:rFonts w:hint="eastAsia" w:ascii="黑体" w:eastAsia="黑体"/>
          <w:kern w:val="0"/>
          <w:sz w:val="32"/>
          <w:szCs w:val="32"/>
        </w:rPr>
        <w:t>校准规范</w:t>
      </w:r>
      <w:bookmarkEnd w:id="12"/>
    </w:p>
    <w:p w14:paraId="101F656F">
      <w:pPr>
        <w:pStyle w:val="15"/>
      </w:pPr>
      <w:bookmarkStart w:id="14" w:name="_Toc28964"/>
      <w:bookmarkStart w:id="15" w:name="_Toc19915"/>
      <w:bookmarkStart w:id="16" w:name="_Toc18648"/>
      <w:bookmarkStart w:id="17" w:name="_Toc18041"/>
      <w:bookmarkStart w:id="18" w:name="_Toc519778259"/>
      <w:bookmarkStart w:id="19" w:name="_Toc21792"/>
      <w:bookmarkStart w:id="20" w:name="_Toc872"/>
      <w:r>
        <w:t xml:space="preserve">1  </w:t>
      </w:r>
      <w:r>
        <w:rPr>
          <w:rFonts w:hint="eastAsia"/>
        </w:rPr>
        <w:t>范围</w:t>
      </w:r>
      <w:bookmarkEnd w:id="14"/>
      <w:bookmarkEnd w:id="15"/>
      <w:bookmarkEnd w:id="16"/>
      <w:bookmarkEnd w:id="17"/>
      <w:bookmarkEnd w:id="18"/>
      <w:bookmarkEnd w:id="19"/>
      <w:bookmarkEnd w:id="20"/>
    </w:p>
    <w:p w14:paraId="068C5D29">
      <w:pPr>
        <w:adjustRightInd w:val="0"/>
        <w:snapToGrid w:val="0"/>
        <w:ind w:firstLine="480" w:firstLineChars="200"/>
        <w:rPr>
          <w:rFonts w:hint="eastAsia" w:ascii="宋体" w:hAnsi="宋体"/>
        </w:rPr>
      </w:pPr>
      <w:r>
        <w:rPr>
          <w:rFonts w:hint="eastAsia" w:ascii="宋体" w:hAnsi="宋体"/>
        </w:rPr>
        <w:t>本规范适用于</w:t>
      </w:r>
      <w:bookmarkStart w:id="21" w:name="OLE_LINK7"/>
      <w:r>
        <w:rPr>
          <w:rFonts w:hint="eastAsia" w:asciiTheme="minorEastAsia" w:hAnsiTheme="minorEastAsia"/>
          <w:sz w:val="24"/>
          <w:szCs w:val="24"/>
          <w:lang w:val="en-US" w:eastAsia="zh-CN"/>
        </w:rPr>
        <w:t>工业生产中作为参考屏的</w:t>
      </w:r>
      <w:r>
        <w:rPr>
          <w:rFonts w:hint="eastAsia" w:ascii="宋体" w:hAnsi="宋体"/>
        </w:rPr>
        <w:t>Mini显示屏</w:t>
      </w:r>
      <w:bookmarkEnd w:id="21"/>
      <w:r>
        <w:rPr>
          <w:rFonts w:hint="eastAsia" w:ascii="宋体" w:hAnsi="宋体"/>
        </w:rPr>
        <w:t>空间光色特性的校准。</w:t>
      </w:r>
    </w:p>
    <w:p w14:paraId="736710FA">
      <w:pPr>
        <w:pStyle w:val="15"/>
        <w:rPr>
          <w:rFonts w:hint="default" w:eastAsia="黑体"/>
          <w:lang w:val="en-US" w:eastAsia="zh-CN"/>
        </w:rPr>
      </w:pPr>
      <w:bookmarkStart w:id="22" w:name="_Toc2250"/>
      <w:bookmarkStart w:id="23" w:name="_Toc25397"/>
      <w:bookmarkStart w:id="24" w:name="_Toc32564"/>
      <w:bookmarkStart w:id="25" w:name="_Toc20144"/>
      <w:r>
        <w:rPr>
          <w:rFonts w:hint="eastAsia"/>
        </w:rPr>
        <w:t>2</w:t>
      </w:r>
      <w:r>
        <w:t xml:space="preserve"> </w:t>
      </w:r>
      <w:r>
        <w:rPr>
          <w:rFonts w:hint="eastAsia"/>
        </w:rPr>
        <w:t xml:space="preserve"> </w:t>
      </w:r>
      <w:r>
        <w:rPr>
          <w:rFonts w:hint="eastAsia"/>
          <w:lang w:val="en-US" w:eastAsia="zh-CN"/>
        </w:rPr>
        <w:t>引用文件</w:t>
      </w:r>
      <w:bookmarkEnd w:id="22"/>
      <w:bookmarkEnd w:id="23"/>
      <w:bookmarkEnd w:id="24"/>
      <w:bookmarkEnd w:id="25"/>
    </w:p>
    <w:p w14:paraId="2F9CC1C5">
      <w:pPr>
        <w:adjustRightInd w:val="0"/>
        <w:snapToGrid w:val="0"/>
        <w:ind w:firstLine="480" w:firstLineChars="200"/>
        <w:rPr>
          <w:rFonts w:hint="eastAsia" w:ascii="宋体" w:hAnsi="宋体"/>
          <w:lang w:val="en-US" w:eastAsia="zh-CN"/>
        </w:rPr>
      </w:pPr>
      <w:r>
        <w:rPr>
          <w:rFonts w:hint="eastAsia" w:ascii="宋体" w:hAnsi="宋体"/>
          <w:lang w:val="en-US" w:eastAsia="zh-CN"/>
        </w:rPr>
        <w:t>本规范引用了以下文件：</w:t>
      </w:r>
    </w:p>
    <w:p w14:paraId="70F95B9B">
      <w:pPr>
        <w:adjustRightInd w:val="0"/>
        <w:snapToGrid w:val="0"/>
        <w:ind w:firstLine="480" w:firstLineChars="200"/>
        <w:rPr>
          <w:rFonts w:hint="eastAsia" w:ascii="宋体" w:hAnsi="宋体"/>
          <w:lang w:val="en-US" w:eastAsia="zh-CN"/>
        </w:rPr>
      </w:pPr>
      <w:r>
        <w:rPr>
          <w:rFonts w:hint="eastAsia" w:ascii="宋体" w:hAnsi="宋体"/>
          <w:lang w:val="en-US" w:eastAsia="zh-CN"/>
        </w:rPr>
        <w:t>JJG 211-2021 亮度计检定规程</w:t>
      </w:r>
    </w:p>
    <w:p w14:paraId="5979D674">
      <w:pPr>
        <w:adjustRightInd w:val="0"/>
        <w:snapToGrid w:val="0"/>
        <w:ind w:firstLine="480" w:firstLineChars="200"/>
        <w:rPr>
          <w:rFonts w:hint="eastAsia" w:ascii="宋体" w:hAnsi="宋体"/>
          <w:lang w:val="en-US" w:eastAsia="zh-CN"/>
        </w:rPr>
      </w:pPr>
      <w:r>
        <w:rPr>
          <w:rFonts w:hint="eastAsia" w:ascii="宋体" w:hAnsi="宋体"/>
          <w:lang w:val="en-US" w:eastAsia="zh-CN"/>
        </w:rPr>
        <w:t>凡是注日期的引用文件，仅注日期的版本适用于本规则；凡是不注日期的引用文件，其最新版本（包括所有的修改单）适用于本规则。</w:t>
      </w:r>
    </w:p>
    <w:p w14:paraId="3556E617">
      <w:pPr>
        <w:adjustRightInd w:val="0"/>
        <w:snapToGrid w:val="0"/>
        <w:ind w:firstLine="480" w:firstLineChars="200"/>
        <w:rPr>
          <w:rFonts w:asciiTheme="minorEastAsia" w:hAnsiTheme="minorEastAsia"/>
          <w:strike/>
        </w:rPr>
      </w:pPr>
    </w:p>
    <w:p w14:paraId="71CD51A5">
      <w:pPr>
        <w:pStyle w:val="15"/>
      </w:pPr>
      <w:bookmarkStart w:id="26" w:name="_Toc3951"/>
      <w:bookmarkStart w:id="27" w:name="_Toc11058"/>
      <w:bookmarkStart w:id="28" w:name="_Toc5000"/>
      <w:bookmarkStart w:id="29" w:name="_Toc8725"/>
      <w:bookmarkStart w:id="30" w:name="_Toc519778261"/>
      <w:bookmarkStart w:id="31" w:name="_Toc11810"/>
      <w:bookmarkStart w:id="32" w:name="_Toc23319"/>
      <w:r>
        <w:rPr>
          <w:rFonts w:hint="eastAsia"/>
          <w:lang w:val="en-US" w:eastAsia="zh-CN"/>
        </w:rPr>
        <w:t>3</w:t>
      </w:r>
      <w:r>
        <w:t xml:space="preserve"> </w:t>
      </w:r>
      <w:r>
        <w:rPr>
          <w:rFonts w:hint="eastAsia"/>
        </w:rPr>
        <w:t xml:space="preserve"> </w:t>
      </w:r>
      <w:bookmarkStart w:id="33" w:name="OLE_LINK2"/>
      <w:bookmarkEnd w:id="33"/>
      <w:r>
        <w:rPr>
          <w:rFonts w:hint="eastAsia"/>
        </w:rPr>
        <w:t>术语</w:t>
      </w:r>
      <w:bookmarkEnd w:id="26"/>
      <w:bookmarkEnd w:id="27"/>
      <w:bookmarkEnd w:id="28"/>
      <w:bookmarkEnd w:id="29"/>
      <w:bookmarkEnd w:id="30"/>
      <w:bookmarkEnd w:id="31"/>
      <w:bookmarkEnd w:id="32"/>
    </w:p>
    <w:p w14:paraId="4EC04E82">
      <w:pPr>
        <w:adjustRightInd w:val="0"/>
        <w:snapToGrid w:val="0"/>
        <w:ind w:firstLine="420" w:firstLineChars="175"/>
        <w:rPr>
          <w:rFonts w:hint="default"/>
          <w:lang w:val="en-US"/>
        </w:rPr>
      </w:pPr>
      <w:r>
        <w:rPr>
          <w:rFonts w:hint="eastAsia"/>
          <w:lang w:val="en-US" w:eastAsia="zh-CN"/>
        </w:rPr>
        <w:t>3</w:t>
      </w:r>
      <w:r>
        <w:t>.1</w:t>
      </w:r>
      <w:r>
        <w:rPr>
          <w:rFonts w:hint="eastAsia"/>
        </w:rPr>
        <w:t xml:space="preserve"> </w:t>
      </w:r>
      <w:bookmarkStart w:id="34" w:name="OLE_LINK10"/>
      <w:r>
        <w:rPr>
          <w:rFonts w:hint="eastAsia"/>
        </w:rPr>
        <w:t>Mini显示屏</w:t>
      </w:r>
      <w:bookmarkEnd w:id="34"/>
      <w:r>
        <w:rPr>
          <w:rFonts w:hint="eastAsia"/>
        </w:rPr>
        <w:t xml:space="preserve"> </w:t>
      </w:r>
      <w:r>
        <w:rPr>
          <w:rFonts w:hint="eastAsia"/>
          <w:lang w:val="en-US" w:eastAsia="zh-CN"/>
        </w:rPr>
        <w:t>Mini displays</w:t>
      </w:r>
    </w:p>
    <w:p w14:paraId="6325FEB2">
      <w:pPr>
        <w:adjustRightInd w:val="0"/>
        <w:snapToGrid w:val="0"/>
        <w:ind w:firstLine="420" w:firstLineChars="175"/>
        <w:rPr>
          <w:rFonts w:hint="eastAsia" w:eastAsiaTheme="minorEastAsia"/>
          <w:lang w:val="en-US" w:eastAsia="zh-CN"/>
        </w:rPr>
      </w:pPr>
      <w:r>
        <w:rPr>
          <w:rFonts w:hint="eastAsia"/>
          <w:lang w:val="en-US" w:eastAsia="zh-CN"/>
        </w:rPr>
        <w:t>由若干个Mini-LED</w:t>
      </w:r>
      <w:bookmarkStart w:id="35" w:name="OLE_LINK8"/>
      <w:r>
        <w:rPr>
          <w:rFonts w:hint="eastAsia"/>
          <w:lang w:val="en-US" w:eastAsia="zh-CN"/>
        </w:rPr>
        <w:t>显示模组</w:t>
      </w:r>
      <w:bookmarkEnd w:id="35"/>
      <w:r>
        <w:rPr>
          <w:rFonts w:hint="eastAsia"/>
          <w:lang w:val="en-US" w:eastAsia="zh-CN"/>
        </w:rPr>
        <w:t>拼接成的显示屏</w:t>
      </w:r>
      <w:r>
        <w:rPr>
          <w:rFonts w:hint="eastAsia"/>
        </w:rPr>
        <w:t>。</w:t>
      </w:r>
      <w:r>
        <w:rPr>
          <w:rFonts w:hint="eastAsia"/>
          <w:lang w:val="en-US" w:eastAsia="zh-CN"/>
        </w:rPr>
        <w:t>其中显示模组是指</w:t>
      </w:r>
      <w:r>
        <w:rPr>
          <w:rFonts w:hint="eastAsia"/>
        </w:rPr>
        <w:t>由若干个</w:t>
      </w:r>
      <w:bookmarkStart w:id="36" w:name="OLE_LINK9"/>
      <w:r>
        <w:rPr>
          <w:rFonts w:hint="eastAsia"/>
        </w:rPr>
        <w:t>Mini-LED</w:t>
      </w:r>
      <w:bookmarkEnd w:id="36"/>
      <w:r>
        <w:rPr>
          <w:rFonts w:hint="eastAsia"/>
        </w:rPr>
        <w:t>显示模块、控制电路、电源转换器以及相应的结构件构成的一个独立的单元</w:t>
      </w:r>
      <w:r>
        <w:rPr>
          <w:rFonts w:hint="eastAsia"/>
          <w:lang w:eastAsia="zh-CN"/>
        </w:rPr>
        <w:t>。</w:t>
      </w:r>
      <w:r>
        <w:rPr>
          <w:rFonts w:hint="eastAsia"/>
        </w:rPr>
        <w:t>Mini-LED</w:t>
      </w:r>
      <w:r>
        <w:rPr>
          <w:rFonts w:hint="eastAsia"/>
          <w:lang w:val="en-US" w:eastAsia="zh-CN"/>
        </w:rPr>
        <w:t>的芯片长边尺寸介于100~300 um之间。</w:t>
      </w:r>
    </w:p>
    <w:p w14:paraId="1EFDCBEC">
      <w:pPr>
        <w:pStyle w:val="15"/>
        <w:rPr>
          <w:rFonts w:hint="eastAsia"/>
        </w:rPr>
      </w:pPr>
      <w:bookmarkStart w:id="37" w:name="_Toc14393"/>
      <w:bookmarkStart w:id="38" w:name="_Toc6985"/>
      <w:bookmarkStart w:id="39" w:name="_Toc20671"/>
      <w:bookmarkStart w:id="40" w:name="_Toc22357"/>
      <w:bookmarkStart w:id="41" w:name="_Toc30346"/>
      <w:bookmarkStart w:id="42" w:name="_Toc20222"/>
      <w:bookmarkStart w:id="43" w:name="_Toc23907"/>
      <w:r>
        <w:rPr>
          <w:rFonts w:hint="eastAsia"/>
          <w:lang w:val="en-US" w:eastAsia="zh-CN"/>
        </w:rPr>
        <w:t>4</w:t>
      </w:r>
      <w:r>
        <w:rPr>
          <w:rFonts w:hint="eastAsia"/>
        </w:rPr>
        <w:t xml:space="preserve">  概述</w:t>
      </w:r>
      <w:bookmarkEnd w:id="37"/>
      <w:bookmarkEnd w:id="38"/>
      <w:bookmarkEnd w:id="39"/>
      <w:bookmarkEnd w:id="40"/>
      <w:bookmarkEnd w:id="41"/>
      <w:bookmarkEnd w:id="42"/>
      <w:bookmarkEnd w:id="43"/>
    </w:p>
    <w:p w14:paraId="56D2E352">
      <w:pPr>
        <w:bidi w:val="0"/>
        <w:ind w:firstLine="420" w:firstLineChars="0"/>
        <w:rPr>
          <w:rFonts w:hint="eastAsia" w:eastAsiaTheme="minorEastAsia"/>
          <w:lang w:eastAsia="zh-CN"/>
        </w:rPr>
      </w:pPr>
      <w:r>
        <w:rPr>
          <w:rFonts w:hint="eastAsia" w:asciiTheme="minorEastAsia" w:hAnsiTheme="minorEastAsia"/>
          <w:sz w:val="24"/>
          <w:szCs w:val="24"/>
          <w:lang w:val="en-US" w:eastAsia="zh-CN"/>
        </w:rPr>
        <w:t xml:space="preserve">Mini </w:t>
      </w:r>
      <w:r>
        <w:rPr>
          <w:rFonts w:hint="eastAsia" w:asciiTheme="minorEastAsia" w:hAnsiTheme="minorEastAsia" w:eastAsiaTheme="minorEastAsia"/>
          <w:sz w:val="24"/>
          <w:szCs w:val="24"/>
        </w:rPr>
        <w:t>LED显示器件</w:t>
      </w:r>
      <w:r>
        <w:rPr>
          <w:rFonts w:hint="eastAsia" w:asciiTheme="minorEastAsia" w:hAnsiTheme="minorEastAsia"/>
          <w:sz w:val="24"/>
          <w:szCs w:val="24"/>
          <w:lang w:val="en-US" w:eastAsia="zh-CN"/>
        </w:rPr>
        <w:t>具有</w:t>
      </w:r>
      <w:r>
        <w:rPr>
          <w:rFonts w:hint="eastAsia" w:asciiTheme="minorEastAsia" w:hAnsiTheme="minorEastAsia" w:eastAsiaTheme="minorEastAsia"/>
          <w:sz w:val="24"/>
          <w:szCs w:val="24"/>
        </w:rPr>
        <w:t>高密度的像素元。传统上对显示器件的测量主要是使用光谱辐射亮度计，而光谱辐射亮度计主要是使用发光体是CIE A光源的亮度源定标光谱辐射亮度值，再使用白场仪进行校验测量。由于白场仪与</w:t>
      </w:r>
      <w:r>
        <w:rPr>
          <w:rFonts w:hint="eastAsia" w:asciiTheme="minorEastAsia" w:hAnsiTheme="minorEastAsia" w:eastAsiaTheme="minorEastAsia"/>
          <w:sz w:val="24"/>
          <w:szCs w:val="24"/>
          <w:lang w:val="en-US" w:eastAsia="zh-CN"/>
        </w:rPr>
        <w:t xml:space="preserve">Mini </w:t>
      </w:r>
      <w:r>
        <w:rPr>
          <w:rFonts w:hint="eastAsia" w:asciiTheme="minorEastAsia" w:hAnsiTheme="minorEastAsia" w:eastAsiaTheme="minorEastAsia"/>
          <w:sz w:val="24"/>
          <w:szCs w:val="24"/>
        </w:rPr>
        <w:t>LED显示器件，</w:t>
      </w:r>
      <w:r>
        <w:rPr>
          <w:rFonts w:hint="eastAsia" w:asciiTheme="minorEastAsia" w:hAnsiTheme="minorEastAsia"/>
          <w:sz w:val="24"/>
          <w:szCs w:val="24"/>
          <w:lang w:val="en-US" w:eastAsia="zh-CN"/>
        </w:rPr>
        <w:t>存在</w:t>
      </w:r>
      <w:r>
        <w:rPr>
          <w:rFonts w:hint="eastAsia" w:asciiTheme="minorEastAsia" w:hAnsiTheme="minorEastAsia" w:eastAsiaTheme="minorEastAsia"/>
          <w:sz w:val="24"/>
          <w:szCs w:val="24"/>
        </w:rPr>
        <w:t>发光点尺寸、光谱</w:t>
      </w:r>
      <w:r>
        <w:rPr>
          <w:rFonts w:hint="eastAsia" w:asciiTheme="minorEastAsia" w:hAnsiTheme="minorEastAsia"/>
          <w:sz w:val="24"/>
          <w:szCs w:val="24"/>
          <w:lang w:val="en-US" w:eastAsia="zh-CN"/>
        </w:rPr>
        <w:t>等</w:t>
      </w:r>
      <w:r>
        <w:rPr>
          <w:rFonts w:hint="eastAsia" w:asciiTheme="minorEastAsia" w:hAnsiTheme="minorEastAsia" w:eastAsiaTheme="minorEastAsia"/>
          <w:sz w:val="24"/>
          <w:szCs w:val="24"/>
        </w:rPr>
        <w:t>差异，仍容易产生系统</w:t>
      </w:r>
      <w:r>
        <w:rPr>
          <w:rFonts w:hint="eastAsia" w:asciiTheme="minorEastAsia" w:hAnsiTheme="minorEastAsia"/>
          <w:sz w:val="24"/>
          <w:szCs w:val="24"/>
          <w:lang w:val="en-US" w:eastAsia="zh-CN"/>
        </w:rPr>
        <w:t>性</w:t>
      </w:r>
      <w:r>
        <w:rPr>
          <w:rFonts w:hint="eastAsia" w:asciiTheme="minorEastAsia" w:hAnsiTheme="minorEastAsia" w:eastAsiaTheme="minorEastAsia"/>
          <w:sz w:val="24"/>
          <w:szCs w:val="24"/>
        </w:rPr>
        <w:t>偏差。为了减少测量不确定度，提高产品光色参数的可靠性，</w:t>
      </w:r>
      <w:r>
        <w:rPr>
          <w:rFonts w:hint="eastAsia" w:asciiTheme="minorEastAsia" w:hAnsiTheme="minorEastAsia"/>
          <w:sz w:val="24"/>
          <w:szCs w:val="24"/>
          <w:lang w:val="en-US" w:eastAsia="zh-CN"/>
        </w:rPr>
        <w:t>在工业生产中使用</w:t>
      </w:r>
      <w:r>
        <w:rPr>
          <w:rFonts w:hint="eastAsia" w:asciiTheme="minorEastAsia" w:hAnsiTheme="minorEastAsia" w:eastAsiaTheme="minorEastAsia"/>
          <w:sz w:val="24"/>
          <w:szCs w:val="24"/>
          <w:lang w:val="en-US" w:eastAsia="zh-CN"/>
        </w:rPr>
        <w:t xml:space="preserve">Mini </w:t>
      </w:r>
      <w:r>
        <w:rPr>
          <w:rFonts w:hint="eastAsia" w:asciiTheme="minorEastAsia" w:hAnsiTheme="minorEastAsia" w:eastAsiaTheme="minorEastAsia"/>
          <w:sz w:val="24"/>
          <w:szCs w:val="24"/>
        </w:rPr>
        <w:t>LED</w:t>
      </w:r>
      <w:r>
        <w:rPr>
          <w:rFonts w:hint="eastAsia" w:asciiTheme="minorEastAsia" w:hAnsiTheme="minorEastAsia"/>
          <w:sz w:val="24"/>
          <w:szCs w:val="24"/>
          <w:lang w:val="en-US" w:eastAsia="zh-CN"/>
        </w:rPr>
        <w:t>显示屏作为亮度和颜色等光学参数的参考标准，实时验证产线上亮度和颜色测量装置</w:t>
      </w:r>
      <w:r>
        <w:rPr>
          <w:rFonts w:hint="eastAsia" w:asciiTheme="minorEastAsia" w:hAnsiTheme="minorEastAsia" w:eastAsiaTheme="minorEastAsia"/>
          <w:sz w:val="24"/>
          <w:szCs w:val="24"/>
        </w:rPr>
        <w:t>，实现</w:t>
      </w:r>
      <w:r>
        <w:rPr>
          <w:rFonts w:hint="eastAsia" w:asciiTheme="minorEastAsia" w:hAnsiTheme="minorEastAsia" w:eastAsiaTheme="minorEastAsia"/>
          <w:sz w:val="24"/>
          <w:szCs w:val="24"/>
          <w:lang w:val="en-US" w:eastAsia="zh-CN"/>
        </w:rPr>
        <w:t>Mini LED</w:t>
      </w:r>
      <w:r>
        <w:rPr>
          <w:rFonts w:hint="eastAsia" w:asciiTheme="minorEastAsia" w:hAnsiTheme="minorEastAsia" w:eastAsiaTheme="minorEastAsia"/>
          <w:sz w:val="24"/>
          <w:szCs w:val="24"/>
        </w:rPr>
        <w:t>显示器件的光色参数扁平化的量值传递</w:t>
      </w:r>
      <w:r>
        <w:rPr>
          <w:rFonts w:hint="eastAsia" w:asciiTheme="minorEastAsia" w:hAnsiTheme="minorEastAsia"/>
          <w:sz w:val="24"/>
          <w:szCs w:val="24"/>
          <w:lang w:eastAsia="zh-CN"/>
        </w:rPr>
        <w:t>。</w:t>
      </w:r>
    </w:p>
    <w:p w14:paraId="7B8167C0">
      <w:pPr>
        <w:pStyle w:val="15"/>
        <w:rPr>
          <w:rFonts w:hint="eastAsia"/>
        </w:rPr>
      </w:pPr>
      <w:bookmarkStart w:id="44" w:name="_Toc29316"/>
      <w:bookmarkStart w:id="45" w:name="_Toc2025"/>
      <w:bookmarkStart w:id="46" w:name="_Toc28742"/>
      <w:bookmarkStart w:id="47" w:name="_Toc22100"/>
      <w:bookmarkStart w:id="48" w:name="_Toc1737"/>
      <w:bookmarkStart w:id="49" w:name="_Toc6781"/>
      <w:bookmarkStart w:id="50" w:name="_Toc1929"/>
      <w:r>
        <w:rPr>
          <w:rFonts w:hint="eastAsia"/>
          <w:lang w:val="en-US" w:eastAsia="zh-CN"/>
        </w:rPr>
        <w:t>5</w:t>
      </w:r>
      <w:r>
        <w:rPr>
          <w:rFonts w:hint="eastAsia"/>
        </w:rPr>
        <w:t xml:space="preserve">  计量特性</w:t>
      </w:r>
      <w:bookmarkEnd w:id="44"/>
      <w:bookmarkEnd w:id="45"/>
      <w:bookmarkEnd w:id="46"/>
      <w:bookmarkEnd w:id="47"/>
      <w:bookmarkEnd w:id="48"/>
      <w:bookmarkEnd w:id="49"/>
      <w:bookmarkEnd w:id="50"/>
    </w:p>
    <w:p w14:paraId="0DE12C1C">
      <w:pPr>
        <w:bidi w:val="0"/>
        <w:rPr>
          <w:rFonts w:hint="eastAsia"/>
          <w:lang w:val="en-US" w:eastAsia="zh-CN"/>
        </w:rPr>
      </w:pPr>
      <w:bookmarkStart w:id="51" w:name="OLE_LINK11"/>
      <w:r>
        <w:rPr>
          <w:rFonts w:hint="eastAsia"/>
          <w:lang w:val="en-US" w:eastAsia="zh-CN"/>
        </w:rPr>
        <w:t>5.1 典型白场条件下的</w:t>
      </w:r>
      <w:bookmarkEnd w:id="51"/>
      <w:r>
        <w:rPr>
          <w:rFonts w:hint="eastAsia"/>
          <w:lang w:val="en-US" w:eastAsia="zh-CN"/>
        </w:rPr>
        <w:t xml:space="preserve">亮度不确定度 </w:t>
      </w:r>
      <w:r>
        <w:rPr>
          <w:rFonts w:hint="eastAsia"/>
          <w:i/>
          <w:iCs/>
          <w:lang w:val="en-US" w:eastAsia="zh-CN"/>
        </w:rPr>
        <w:t>U</w:t>
      </w:r>
      <w:r>
        <w:rPr>
          <w:rFonts w:hint="eastAsia"/>
          <w:i w:val="0"/>
          <w:iCs w:val="0"/>
          <w:vertAlign w:val="subscript"/>
          <w:lang w:val="en-US" w:eastAsia="zh-CN"/>
        </w:rPr>
        <w:t>rel</w:t>
      </w:r>
      <w:r>
        <w:rPr>
          <w:rFonts w:hint="eastAsia"/>
          <w:lang w:val="en-US" w:eastAsia="zh-CN"/>
        </w:rPr>
        <w:t>=5.0%（</w:t>
      </w:r>
      <w:r>
        <w:rPr>
          <w:rFonts w:hint="eastAsia"/>
          <w:i/>
          <w:iCs/>
          <w:lang w:val="en-US" w:eastAsia="zh-CN"/>
        </w:rPr>
        <w:t>k</w:t>
      </w:r>
      <w:r>
        <w:rPr>
          <w:rFonts w:hint="eastAsia"/>
          <w:lang w:val="en-US" w:eastAsia="zh-CN"/>
        </w:rPr>
        <w:t>=2）；</w:t>
      </w:r>
    </w:p>
    <w:p w14:paraId="18987322">
      <w:pPr>
        <w:bidi w:val="0"/>
        <w:rPr>
          <w:rFonts w:hint="default"/>
          <w:lang w:val="en-US" w:eastAsia="zh-CN"/>
        </w:rPr>
      </w:pPr>
      <w:r>
        <w:rPr>
          <w:rFonts w:hint="eastAsia"/>
          <w:lang w:val="en-US" w:eastAsia="zh-CN"/>
        </w:rPr>
        <w:t>5.2 垂直视角条件下亮度均匀性不低于95%；</w:t>
      </w:r>
    </w:p>
    <w:p w14:paraId="35C2622B">
      <w:pPr>
        <w:bidi w:val="0"/>
        <w:rPr>
          <w:rFonts w:hint="eastAsia"/>
          <w:lang w:val="en-US" w:eastAsia="zh-CN"/>
        </w:rPr>
      </w:pPr>
      <w:r>
        <w:rPr>
          <w:rFonts w:hint="eastAsia"/>
          <w:lang w:val="en-US" w:eastAsia="zh-CN"/>
        </w:rPr>
        <w:t xml:space="preserve">5.3 典型白场或RGB条件下，色品坐标不确定度 </w:t>
      </w:r>
      <w:r>
        <w:rPr>
          <w:rFonts w:hint="eastAsia"/>
          <w:i/>
          <w:iCs/>
          <w:u w:val="none"/>
          <w:lang w:val="en-US" w:eastAsia="zh-CN"/>
        </w:rPr>
        <w:t>U</w:t>
      </w:r>
      <w:r>
        <w:rPr>
          <w:rFonts w:hint="eastAsia"/>
          <w:lang w:val="en-US" w:eastAsia="zh-CN"/>
        </w:rPr>
        <w:t>(x)或</w:t>
      </w:r>
      <w:r>
        <w:rPr>
          <w:rFonts w:hint="eastAsia"/>
          <w:i/>
          <w:iCs/>
          <w:u w:val="none"/>
          <w:lang w:val="en-US" w:eastAsia="zh-CN"/>
        </w:rPr>
        <w:t>U</w:t>
      </w:r>
      <w:r>
        <w:rPr>
          <w:rFonts w:hint="eastAsia"/>
          <w:lang w:val="en-US" w:eastAsia="zh-CN"/>
        </w:rPr>
        <w:t>(y)不大于0.0050（</w:t>
      </w:r>
      <w:r>
        <w:rPr>
          <w:rFonts w:hint="eastAsia"/>
          <w:i/>
          <w:iCs/>
          <w:lang w:val="en-US" w:eastAsia="zh-CN"/>
        </w:rPr>
        <w:t>k</w:t>
      </w:r>
      <w:r>
        <w:rPr>
          <w:rFonts w:hint="eastAsia"/>
          <w:lang w:val="en-US" w:eastAsia="zh-CN"/>
        </w:rPr>
        <w:t>=2）；</w:t>
      </w:r>
    </w:p>
    <w:p w14:paraId="6C3D575D">
      <w:pPr>
        <w:pStyle w:val="15"/>
      </w:pPr>
      <w:bookmarkStart w:id="52" w:name="_Toc28555"/>
      <w:bookmarkStart w:id="53" w:name="_Toc19349"/>
      <w:bookmarkStart w:id="54" w:name="_Toc18839"/>
      <w:bookmarkStart w:id="55" w:name="_Toc24499"/>
      <w:bookmarkStart w:id="56" w:name="_Toc21708"/>
      <w:bookmarkStart w:id="57" w:name="_Toc21140"/>
      <w:bookmarkStart w:id="58" w:name="_Toc23634"/>
      <w:r>
        <w:rPr>
          <w:rFonts w:hint="eastAsia"/>
          <w:lang w:val="en-US" w:eastAsia="zh-CN"/>
        </w:rPr>
        <w:t>6</w:t>
      </w:r>
      <w:r>
        <w:t xml:space="preserve">  校准条件</w:t>
      </w:r>
      <w:bookmarkEnd w:id="52"/>
      <w:bookmarkEnd w:id="53"/>
      <w:bookmarkEnd w:id="54"/>
      <w:bookmarkEnd w:id="55"/>
      <w:bookmarkEnd w:id="56"/>
      <w:bookmarkEnd w:id="57"/>
      <w:bookmarkEnd w:id="58"/>
    </w:p>
    <w:p w14:paraId="2E279ABD">
      <w:pPr>
        <w:rPr>
          <w:rFonts w:ascii="宋体" w:hAnsi="宋体" w:eastAsia="宋体" w:cs="宋体"/>
        </w:rPr>
      </w:pPr>
      <w:bookmarkStart w:id="59" w:name="_Toc519778265"/>
      <w:r>
        <w:rPr>
          <w:rFonts w:hint="eastAsia" w:ascii="宋体" w:hAnsi="宋体" w:eastAsia="宋体" w:cs="宋体"/>
          <w:lang w:val="en-US" w:eastAsia="zh-CN"/>
        </w:rPr>
        <w:t>6</w:t>
      </w:r>
      <w:r>
        <w:rPr>
          <w:rFonts w:hint="eastAsia" w:ascii="宋体" w:hAnsi="宋体" w:eastAsia="宋体" w:cs="宋体"/>
        </w:rPr>
        <w:t>.1  环境条件</w:t>
      </w:r>
      <w:bookmarkEnd w:id="59"/>
    </w:p>
    <w:p w14:paraId="59A01AC9">
      <w:pPr>
        <w:rPr>
          <w:rFonts w:hAnsi="宋体"/>
          <w:szCs w:val="21"/>
        </w:rPr>
      </w:pPr>
      <w:r>
        <w:rPr>
          <w:szCs w:val="21"/>
        </w:rPr>
        <w:tab/>
      </w:r>
      <w:r>
        <w:rPr>
          <w:rFonts w:hAnsi="宋体"/>
          <w:szCs w:val="21"/>
        </w:rPr>
        <w:t>温度</w:t>
      </w:r>
      <w:r>
        <w:rPr>
          <w:rFonts w:hint="eastAsia" w:hAnsi="宋体"/>
          <w:szCs w:val="21"/>
        </w:rPr>
        <w:t>：</w:t>
      </w:r>
      <w:r>
        <w:rPr>
          <w:rFonts w:ascii="宋体" w:hAnsi="宋体"/>
          <w:szCs w:val="21"/>
        </w:rPr>
        <w:t>（23</w:t>
      </w:r>
      <w:r>
        <w:rPr>
          <w:rFonts w:ascii="宋体" w:hAnsi="宋体"/>
          <w:szCs w:val="21"/>
        </w:rPr>
        <w:sym w:font="Symbol" w:char="F0B1"/>
      </w:r>
      <w:r>
        <w:rPr>
          <w:rFonts w:hint="eastAsia" w:ascii="宋体" w:hAnsi="宋体"/>
          <w:szCs w:val="21"/>
          <w:lang w:val="en-US" w:eastAsia="zh-CN"/>
        </w:rPr>
        <w:t>5</w:t>
      </w:r>
      <w:r>
        <w:rPr>
          <w:rFonts w:ascii="宋体" w:hAnsi="宋体"/>
          <w:szCs w:val="21"/>
        </w:rPr>
        <w:t>）℃</w:t>
      </w:r>
      <w:r>
        <w:rPr>
          <w:rFonts w:hint="eastAsia" w:ascii="宋体" w:hAnsi="宋体"/>
          <w:szCs w:val="21"/>
          <w:lang w:val="en-US" w:eastAsia="zh-CN"/>
        </w:rPr>
        <w:t xml:space="preserve"> ；</w:t>
      </w:r>
      <w:r>
        <w:rPr>
          <w:rFonts w:hint="eastAsia" w:hAnsi="宋体"/>
          <w:szCs w:val="21"/>
        </w:rPr>
        <w:t>相对</w:t>
      </w:r>
      <w:r>
        <w:rPr>
          <w:rFonts w:hAnsi="宋体"/>
          <w:szCs w:val="21"/>
        </w:rPr>
        <w:t>湿度</w:t>
      </w:r>
      <w:r>
        <w:rPr>
          <w:rFonts w:hint="eastAsia" w:hAnsi="宋体"/>
          <w:szCs w:val="21"/>
        </w:rPr>
        <w:t>：</w:t>
      </w:r>
      <w:r>
        <w:rPr>
          <w:rFonts w:hint="eastAsia" w:ascii="宋体" w:hAnsi="宋体"/>
          <w:szCs w:val="21"/>
        </w:rPr>
        <w:t>≤</w:t>
      </w:r>
      <w:r>
        <w:rPr>
          <w:rFonts w:hint="eastAsia" w:ascii="宋体" w:hAnsi="宋体"/>
          <w:szCs w:val="21"/>
          <w:lang w:val="en-US" w:eastAsia="zh-CN"/>
        </w:rPr>
        <w:t>80</w:t>
      </w:r>
      <w:r>
        <w:rPr>
          <w:szCs w:val="21"/>
        </w:rPr>
        <w:t>%</w:t>
      </w:r>
      <w:r>
        <w:rPr>
          <w:rFonts w:hint="eastAsia"/>
          <w:szCs w:val="21"/>
          <w:lang w:val="en-US" w:eastAsia="zh-CN"/>
        </w:rPr>
        <w:t xml:space="preserve"> ；光学暗室。</w:t>
      </w:r>
    </w:p>
    <w:p w14:paraId="30A6D1A4">
      <w:pPr>
        <w:ind w:firstLine="420"/>
        <w:rPr>
          <w:rFonts w:hint="eastAsia" w:ascii="宋体" w:hAnsi="宋体"/>
        </w:rPr>
      </w:pPr>
      <w:r>
        <w:rPr>
          <w:rFonts w:ascii="宋体" w:hAnsi="宋体"/>
        </w:rPr>
        <w:t>环境应清洁</w:t>
      </w:r>
      <w:r>
        <w:rPr>
          <w:rFonts w:hint="eastAsia" w:ascii="宋体" w:hAnsi="宋体"/>
        </w:rPr>
        <w:t>，</w:t>
      </w:r>
      <w:r>
        <w:rPr>
          <w:rFonts w:ascii="宋体" w:hAnsi="宋体"/>
        </w:rPr>
        <w:t>无腐蚀性气体</w:t>
      </w:r>
      <w:r>
        <w:rPr>
          <w:rFonts w:hint="eastAsia" w:ascii="宋体" w:hAnsi="宋体"/>
        </w:rPr>
        <w:t>，</w:t>
      </w:r>
      <w:r>
        <w:rPr>
          <w:rFonts w:ascii="宋体" w:hAnsi="宋体"/>
        </w:rPr>
        <w:t>周围无影响仪器正常工作的</w:t>
      </w:r>
      <w:r>
        <w:rPr>
          <w:rFonts w:hint="eastAsia" w:ascii="宋体" w:hAnsi="宋体"/>
        </w:rPr>
        <w:t>粉尘、震</w:t>
      </w:r>
      <w:r>
        <w:rPr>
          <w:rFonts w:ascii="宋体" w:hAnsi="宋体"/>
        </w:rPr>
        <w:t>动和电磁场的干扰</w:t>
      </w:r>
      <w:r>
        <w:rPr>
          <w:rFonts w:hint="eastAsia" w:ascii="宋体" w:hAnsi="宋体"/>
        </w:rPr>
        <w:t>。</w:t>
      </w:r>
      <w:bookmarkStart w:id="60" w:name="_Toc519778266"/>
    </w:p>
    <w:p w14:paraId="2F155C60">
      <w:pPr>
        <w:rPr>
          <w:rFonts w:ascii="宋体" w:hAnsi="宋体" w:eastAsia="宋体" w:cs="宋体"/>
        </w:rPr>
      </w:pPr>
      <w:r>
        <w:rPr>
          <w:rFonts w:hint="eastAsia" w:ascii="宋体" w:hAnsi="宋体" w:eastAsia="宋体" w:cs="宋体"/>
          <w:lang w:val="en-US" w:eastAsia="zh-CN"/>
        </w:rPr>
        <w:t>6</w:t>
      </w:r>
      <w:r>
        <w:rPr>
          <w:rFonts w:hint="eastAsia" w:ascii="宋体" w:hAnsi="宋体" w:eastAsia="宋体" w:cs="宋体"/>
        </w:rPr>
        <w:t>.2  测量标准及其他设备</w:t>
      </w:r>
      <w:bookmarkEnd w:id="60"/>
    </w:p>
    <w:p w14:paraId="0F00EC29">
      <w:pPr>
        <w:numPr>
          <w:ilvl w:val="0"/>
          <w:numId w:val="0"/>
        </w:numPr>
        <w:bidi w:val="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 xml:space="preserve">6.2.1 </w:t>
      </w:r>
      <w:bookmarkStart w:id="61" w:name="OLE_LINK14"/>
      <w:r>
        <w:rPr>
          <w:rFonts w:hint="eastAsia" w:asciiTheme="minorEastAsia" w:hAnsiTheme="minorEastAsia"/>
          <w:sz w:val="24"/>
          <w:szCs w:val="24"/>
          <w:lang w:val="en-US" w:eastAsia="zh-CN"/>
        </w:rPr>
        <w:t>多维转台</w:t>
      </w:r>
      <w:bookmarkEnd w:id="61"/>
      <w:r>
        <w:rPr>
          <w:rFonts w:hint="eastAsia" w:asciiTheme="minorEastAsia" w:hAnsiTheme="minorEastAsia"/>
          <w:sz w:val="24"/>
          <w:szCs w:val="24"/>
          <w:lang w:val="en-US" w:eastAsia="zh-CN"/>
        </w:rPr>
        <w:t>。该转台具有多维移动和旋转机构，</w:t>
      </w:r>
      <w:bookmarkStart w:id="62" w:name="OLE_LINK13"/>
      <w:r>
        <w:rPr>
          <w:rFonts w:hint="eastAsia" w:asciiTheme="minorEastAsia" w:hAnsiTheme="minorEastAsia"/>
          <w:sz w:val="24"/>
          <w:szCs w:val="24"/>
          <w:lang w:val="en-US" w:eastAsia="zh-CN"/>
        </w:rPr>
        <w:t>可</w:t>
      </w:r>
      <w:bookmarkStart w:id="63" w:name="OLE_LINK12"/>
      <w:r>
        <w:rPr>
          <w:rFonts w:hint="eastAsia" w:asciiTheme="minorEastAsia" w:hAnsiTheme="minorEastAsia"/>
          <w:sz w:val="24"/>
          <w:szCs w:val="24"/>
          <w:lang w:val="en-US" w:eastAsia="zh-CN"/>
        </w:rPr>
        <w:t>夹持显示屏</w:t>
      </w:r>
      <w:bookmarkEnd w:id="63"/>
      <w:r>
        <w:rPr>
          <w:rFonts w:hint="eastAsia" w:asciiTheme="minorEastAsia" w:hAnsiTheme="minorEastAsia"/>
          <w:sz w:val="24"/>
          <w:szCs w:val="24"/>
          <w:lang w:val="en-US" w:eastAsia="zh-CN"/>
        </w:rPr>
        <w:t>使</w:t>
      </w:r>
      <w:bookmarkEnd w:id="62"/>
      <w:r>
        <w:rPr>
          <w:rFonts w:hint="eastAsia" w:asciiTheme="minorEastAsia" w:hAnsiTheme="minorEastAsia"/>
          <w:sz w:val="24"/>
          <w:szCs w:val="24"/>
          <w:lang w:val="en-US" w:eastAsia="zh-CN"/>
        </w:rPr>
        <w:t>显示屏平面相当于大地产生水平或者垂直移动；可夹持显示屏使其绕工作光轴旋转或绕大地法线旋转。</w:t>
      </w:r>
    </w:p>
    <w:p w14:paraId="21CA3D59">
      <w:pPr>
        <w:numPr>
          <w:ilvl w:val="0"/>
          <w:numId w:val="0"/>
        </w:numPr>
        <w:bidi w:val="0"/>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6.2.2 驱动信号设备。</w:t>
      </w:r>
    </w:p>
    <w:p w14:paraId="7C585210">
      <w:pPr>
        <w:numPr>
          <w:ilvl w:val="0"/>
          <w:numId w:val="0"/>
        </w:numPr>
        <w:bidi w:val="0"/>
        <w:jc w:val="center"/>
      </w:pPr>
      <w:r>
        <w:drawing>
          <wp:inline distT="0" distB="0" distL="114300" distR="114300">
            <wp:extent cx="3726815" cy="2390140"/>
            <wp:effectExtent l="0" t="0" r="6985" b="254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5"/>
                    <a:stretch>
                      <a:fillRect/>
                    </a:stretch>
                  </pic:blipFill>
                  <pic:spPr>
                    <a:xfrm>
                      <a:off x="0" y="0"/>
                      <a:ext cx="3726815" cy="2390140"/>
                    </a:xfrm>
                    <a:prstGeom prst="rect">
                      <a:avLst/>
                    </a:prstGeom>
                    <a:noFill/>
                    <a:ln>
                      <a:noFill/>
                    </a:ln>
                  </pic:spPr>
                </pic:pic>
              </a:graphicData>
            </a:graphic>
          </wp:inline>
        </w:drawing>
      </w:r>
    </w:p>
    <w:p w14:paraId="00E50766">
      <w:pPr>
        <w:numPr>
          <w:ilvl w:val="0"/>
          <w:numId w:val="0"/>
        </w:numPr>
        <w:bidi w:val="0"/>
        <w:jc w:val="center"/>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图1多维转台示意图</w:t>
      </w:r>
    </w:p>
    <w:p w14:paraId="23D3AB9F">
      <w:pPr>
        <w:numPr>
          <w:ilvl w:val="0"/>
          <w:numId w:val="0"/>
        </w:numPr>
        <w:bidi w:val="0"/>
        <w:jc w:val="center"/>
        <w:rPr>
          <w:rFonts w:hint="default" w:asciiTheme="minorEastAsia" w:hAnsiTheme="minorEastAsia"/>
          <w:sz w:val="24"/>
          <w:szCs w:val="24"/>
          <w:lang w:val="en-US" w:eastAsia="zh-CN"/>
        </w:rPr>
      </w:pPr>
    </w:p>
    <w:p w14:paraId="028509FF">
      <w:pPr>
        <w:numPr>
          <w:ilvl w:val="0"/>
          <w:numId w:val="0"/>
        </w:numPr>
        <w:bidi w:val="0"/>
        <w:rPr>
          <w:rFonts w:hint="default" w:eastAsiaTheme="minorEastAsia"/>
          <w:lang w:val="en-US" w:eastAsia="zh-CN"/>
        </w:rPr>
      </w:pPr>
      <w:r>
        <w:rPr>
          <w:rFonts w:hint="eastAsia" w:asciiTheme="minorEastAsia" w:hAnsiTheme="minorEastAsia"/>
          <w:sz w:val="24"/>
          <w:szCs w:val="24"/>
          <w:lang w:val="en-US" w:eastAsia="zh-CN"/>
        </w:rPr>
        <w:t>6.2.3 单点式</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光谱辐射亮度计亮度示值应满足</w:t>
      </w:r>
      <w:r>
        <w:rPr>
          <w:rFonts w:hint="eastAsia" w:ascii="宋体" w:hAnsi="宋体"/>
          <w:lang w:val="en-US" w:eastAsia="zh-CN"/>
        </w:rPr>
        <w:t>JJG 211-2021规定的一级亮度计计量性能要求，</w:t>
      </w:r>
      <w:r>
        <w:rPr>
          <w:rFonts w:hint="eastAsia"/>
          <w:lang w:val="en-US" w:eastAsia="zh-CN"/>
        </w:rPr>
        <w:t>色品坐标不确定度</w:t>
      </w:r>
      <w:r>
        <w:rPr>
          <w:rFonts w:hint="eastAsia"/>
          <w:i/>
          <w:iCs/>
          <w:u w:val="none"/>
          <w:lang w:val="en-US" w:eastAsia="zh-CN"/>
        </w:rPr>
        <w:t>U</w:t>
      </w:r>
      <w:r>
        <w:rPr>
          <w:rFonts w:hint="eastAsia"/>
          <w:lang w:val="en-US" w:eastAsia="zh-CN"/>
        </w:rPr>
        <w:t>(x)或</w:t>
      </w:r>
      <w:r>
        <w:rPr>
          <w:rFonts w:hint="eastAsia"/>
          <w:i/>
          <w:iCs/>
          <w:u w:val="none"/>
          <w:lang w:val="en-US" w:eastAsia="zh-CN"/>
        </w:rPr>
        <w:t>U</w:t>
      </w:r>
      <w:r>
        <w:rPr>
          <w:rFonts w:hint="eastAsia"/>
          <w:lang w:val="en-US" w:eastAsia="zh-CN"/>
        </w:rPr>
        <w:t>(y)不大于0.0040（</w:t>
      </w:r>
      <w:r>
        <w:rPr>
          <w:rFonts w:hint="eastAsia"/>
          <w:i/>
          <w:iCs/>
          <w:lang w:val="en-US" w:eastAsia="zh-CN"/>
        </w:rPr>
        <w:t>k</w:t>
      </w:r>
      <w:r>
        <w:rPr>
          <w:rFonts w:hint="eastAsia"/>
          <w:lang w:val="en-US" w:eastAsia="zh-CN"/>
        </w:rPr>
        <w:t>=2）。</w:t>
      </w:r>
    </w:p>
    <w:p w14:paraId="02DF7335">
      <w:pPr>
        <w:pStyle w:val="15"/>
        <w:rPr>
          <w:rFonts w:hint="eastAsia"/>
        </w:rPr>
      </w:pPr>
      <w:bookmarkStart w:id="64" w:name="_Toc301161829"/>
      <w:bookmarkStart w:id="65" w:name="_Toc26390"/>
      <w:bookmarkStart w:id="66" w:name="_Toc12941"/>
      <w:bookmarkStart w:id="67" w:name="_Toc28158"/>
      <w:bookmarkStart w:id="68" w:name="_Toc5278"/>
      <w:bookmarkStart w:id="69" w:name="_Toc19244"/>
      <w:bookmarkStart w:id="70" w:name="_Toc17859"/>
      <w:bookmarkStart w:id="71" w:name="_Toc5302"/>
      <w:r>
        <w:rPr>
          <w:rFonts w:hint="eastAsia"/>
          <w:lang w:val="en-US" w:eastAsia="zh-CN"/>
        </w:rPr>
        <w:t>7</w:t>
      </w:r>
      <w:r>
        <w:rPr>
          <w:rFonts w:hint="eastAsia"/>
        </w:rPr>
        <w:t xml:space="preserve">  校准项目和校准方法</w:t>
      </w:r>
      <w:bookmarkEnd w:id="64"/>
      <w:bookmarkEnd w:id="65"/>
      <w:bookmarkEnd w:id="66"/>
      <w:bookmarkEnd w:id="67"/>
      <w:bookmarkEnd w:id="68"/>
      <w:bookmarkEnd w:id="69"/>
      <w:bookmarkEnd w:id="70"/>
      <w:bookmarkEnd w:id="71"/>
    </w:p>
    <w:p w14:paraId="3427AEF4">
      <w:pPr>
        <w:rPr>
          <w:rFonts w:ascii="宋体" w:hAnsi="宋体" w:eastAsia="宋体" w:cs="宋体"/>
        </w:rPr>
      </w:pPr>
      <w:bookmarkStart w:id="72" w:name="_Toc519778268"/>
      <w:r>
        <w:rPr>
          <w:rFonts w:hint="eastAsia" w:ascii="宋体" w:hAnsi="宋体" w:eastAsia="宋体" w:cs="宋体"/>
          <w:lang w:val="en-US" w:eastAsia="zh-CN"/>
        </w:rPr>
        <w:t>7</w:t>
      </w:r>
      <w:r>
        <w:rPr>
          <w:rFonts w:hint="eastAsia" w:ascii="宋体" w:hAnsi="宋体" w:eastAsia="宋体" w:cs="宋体"/>
        </w:rPr>
        <w:t>.1 校准项目</w:t>
      </w:r>
      <w:bookmarkEnd w:id="72"/>
    </w:p>
    <w:p w14:paraId="362FEC68">
      <w:pPr>
        <w:rPr>
          <w:rFonts w:ascii="宋体" w:hAnsi="宋体" w:eastAsia="宋体" w:cs="宋体"/>
        </w:rPr>
      </w:pPr>
      <w:r>
        <w:rPr>
          <w:rFonts w:hint="eastAsia" w:ascii="宋体" w:hAnsi="宋体" w:eastAsia="宋体" w:cs="宋体"/>
        </w:rPr>
        <w:tab/>
      </w:r>
      <w:bookmarkStart w:id="73" w:name="OLE_LINK16"/>
      <w:r>
        <w:rPr>
          <w:rFonts w:hint="eastAsia" w:ascii="宋体" w:hAnsi="宋体" w:eastAsia="宋体" w:cs="宋体"/>
          <w:lang w:val="en-US" w:eastAsia="zh-CN"/>
        </w:rPr>
        <w:t>亮度空间分布和</w:t>
      </w:r>
      <w:r>
        <w:rPr>
          <w:rFonts w:hint="eastAsia"/>
          <w:lang w:val="en-US" w:eastAsia="zh-CN"/>
        </w:rPr>
        <w:t>色品坐标</w:t>
      </w:r>
      <w:r>
        <w:rPr>
          <w:rFonts w:hint="eastAsia" w:ascii="宋体" w:hAnsi="宋体" w:eastAsia="宋体" w:cs="宋体"/>
          <w:lang w:val="en-US" w:eastAsia="zh-CN"/>
        </w:rPr>
        <w:t>空间分布</w:t>
      </w:r>
      <w:bookmarkEnd w:id="73"/>
      <w:r>
        <w:rPr>
          <w:rFonts w:hint="eastAsia" w:ascii="宋体" w:hAnsi="宋体" w:eastAsia="宋体" w:cs="宋体"/>
        </w:rPr>
        <w:t>。</w:t>
      </w:r>
    </w:p>
    <w:p w14:paraId="51E51172">
      <w:pPr>
        <w:rPr>
          <w:rFonts w:ascii="宋体" w:hAnsi="宋体" w:eastAsia="宋体" w:cs="宋体"/>
        </w:rPr>
      </w:pPr>
      <w:bookmarkStart w:id="74" w:name="_Toc519778269"/>
    </w:p>
    <w:p w14:paraId="56338EC8">
      <w:pPr>
        <w:rPr>
          <w:rFonts w:ascii="宋体" w:hAnsi="宋体" w:eastAsia="宋体" w:cs="宋体"/>
        </w:rPr>
      </w:pPr>
      <w:r>
        <w:rPr>
          <w:rFonts w:hint="eastAsia" w:ascii="宋体" w:hAnsi="宋体" w:eastAsia="宋体" w:cs="宋体"/>
          <w:lang w:val="en-US" w:eastAsia="zh-CN"/>
        </w:rPr>
        <w:t>7</w:t>
      </w:r>
      <w:r>
        <w:rPr>
          <w:rFonts w:hint="eastAsia" w:ascii="宋体" w:hAnsi="宋体" w:eastAsia="宋体" w:cs="宋体"/>
        </w:rPr>
        <w:t>.2 校准方法</w:t>
      </w:r>
      <w:bookmarkEnd w:id="74"/>
    </w:p>
    <w:p w14:paraId="7630F22C">
      <w:pPr>
        <w:rPr>
          <w:rFonts w:ascii="宋体" w:hAnsi="宋体" w:eastAsia="宋体" w:cs="宋体"/>
        </w:rPr>
      </w:pPr>
      <w:r>
        <w:rPr>
          <w:rFonts w:hint="eastAsia" w:ascii="宋体" w:hAnsi="宋体" w:eastAsia="宋体" w:cs="宋体"/>
          <w:lang w:val="en-US" w:eastAsia="zh-CN"/>
        </w:rPr>
        <w:t>7</w:t>
      </w:r>
      <w:r>
        <w:rPr>
          <w:rFonts w:hint="eastAsia" w:ascii="宋体" w:hAnsi="宋体" w:eastAsia="宋体" w:cs="宋体"/>
        </w:rPr>
        <w:t>.2.1 实验前准备</w:t>
      </w:r>
    </w:p>
    <w:p w14:paraId="135BE469">
      <w:pPr>
        <w:bidi w:val="0"/>
        <w:ind w:firstLine="420" w:firstLineChars="0"/>
        <w:rPr>
          <w:rFonts w:hint="default" w:asciiTheme="minorEastAsia" w:hAnsiTheme="minorEastAsia"/>
          <w:sz w:val="24"/>
          <w:szCs w:val="24"/>
          <w:lang w:val="en-US" w:eastAsia="zh-CN"/>
        </w:rPr>
      </w:pPr>
      <w:r>
        <w:rPr>
          <w:rFonts w:hint="eastAsia"/>
          <w:lang w:val="en-US" w:eastAsia="zh-CN"/>
        </w:rPr>
        <w:t>在</w:t>
      </w:r>
      <w:bookmarkStart w:id="75" w:name="OLE_LINK17"/>
      <w:r>
        <w:rPr>
          <w:rFonts w:hint="eastAsia" w:asciiTheme="minorEastAsia" w:hAnsiTheme="minorEastAsia"/>
          <w:sz w:val="24"/>
          <w:szCs w:val="24"/>
          <w:lang w:val="en-US" w:eastAsia="zh-CN"/>
        </w:rPr>
        <w:t>多维转台的</w:t>
      </w:r>
      <w:bookmarkEnd w:id="75"/>
      <w:r>
        <w:rPr>
          <w:rFonts w:hint="eastAsia" w:asciiTheme="minorEastAsia" w:hAnsiTheme="minorEastAsia"/>
          <w:sz w:val="24"/>
          <w:szCs w:val="24"/>
          <w:lang w:val="en-US" w:eastAsia="zh-CN"/>
        </w:rPr>
        <w:t>夹具台上夹持待测Mini LED显示屏，并调节当前显示屏的夹具水平轴和垂直轴，在初始位置使得Mini LED显示屏的中心位于多维转台的光学工作轴上，Mini LED显示屏的平面垂直于光学工作轴。</w:t>
      </w:r>
    </w:p>
    <w:p w14:paraId="53285126">
      <w:pPr>
        <w:bidi w:val="0"/>
        <w:ind w:firstLine="420" w:firstLineChars="0"/>
        <w:rPr>
          <w:rFonts w:hint="default" w:asciiTheme="minorEastAsia" w:hAnsiTheme="minorEastAsia" w:eastAsiaTheme="minorEastAsia"/>
          <w:sz w:val="24"/>
          <w:szCs w:val="24"/>
          <w:lang w:val="en-US" w:eastAsia="zh-CN"/>
        </w:rPr>
      </w:pPr>
      <w:r>
        <w:rPr>
          <w:rFonts w:hint="eastAsia"/>
          <w:lang w:val="en-US" w:eastAsia="zh-CN"/>
        </w:rPr>
        <w:t>在</w:t>
      </w:r>
      <w:r>
        <w:rPr>
          <w:rFonts w:hint="eastAsia" w:asciiTheme="minorEastAsia" w:hAnsiTheme="minorEastAsia"/>
          <w:sz w:val="24"/>
          <w:szCs w:val="24"/>
          <w:lang w:val="en-US" w:eastAsia="zh-CN"/>
        </w:rPr>
        <w:t>多维转台的测试仪器台上安装</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并调节</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使得</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val="en-US" w:eastAsia="zh-CN"/>
        </w:rPr>
        <w:t>的采样区域涵盖100个以上的Mini LED显示屏的像素点。</w:t>
      </w:r>
    </w:p>
    <w:p w14:paraId="62030996">
      <w:pPr>
        <w:bidi w:val="0"/>
        <w:ind w:firstLine="420" w:firstLine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预热Mini LED显示屏和</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val="en-US" w:eastAsia="zh-CN"/>
        </w:rPr>
        <w:t>30 min以上。</w:t>
      </w:r>
    </w:p>
    <w:p w14:paraId="3C771DB3">
      <w:pPr>
        <w:bidi w:val="0"/>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 xml:space="preserve">7.2.2 </w:t>
      </w:r>
      <w:r>
        <w:rPr>
          <w:rFonts w:hint="eastAsia" w:ascii="宋体" w:hAnsi="宋体" w:eastAsia="宋体" w:cs="宋体"/>
          <w:lang w:val="en-US" w:eastAsia="zh-CN"/>
        </w:rPr>
        <w:t>亮度空间分布</w:t>
      </w:r>
    </w:p>
    <w:p w14:paraId="7BC99066">
      <w:pPr>
        <w:bidi w:val="0"/>
        <w:ind w:firstLine="420" w:firstLineChars="0"/>
        <w:rPr>
          <w:rFonts w:hint="eastAsia" w:asciiTheme="minorEastAsia" w:hAnsiTheme="minorEastAsia"/>
          <w:sz w:val="24"/>
          <w:szCs w:val="24"/>
          <w:lang w:val="en-US" w:eastAsia="zh-CN"/>
        </w:rPr>
      </w:pPr>
      <w:bookmarkStart w:id="76" w:name="OLE_LINK18"/>
      <w:r>
        <w:rPr>
          <w:rFonts w:hint="eastAsia" w:asciiTheme="minorEastAsia" w:hAnsiTheme="minorEastAsia"/>
          <w:sz w:val="24"/>
          <w:szCs w:val="24"/>
          <w:lang w:val="en-US" w:eastAsia="zh-CN"/>
        </w:rPr>
        <w:t>设定Mini LED显示屏为全白画面（R=G=B=255）,待显示屏亮度稳定后开始测试。</w:t>
      </w:r>
    </w:p>
    <w:bookmarkEnd w:id="76"/>
    <w:p w14:paraId="52DA6958">
      <w:pPr>
        <w:bidi w:val="0"/>
        <w:ind w:firstLine="420" w:firstLineChars="0"/>
        <w:rPr>
          <w:rFonts w:hint="default" w:asciiTheme="minorEastAsia" w:hAnsiTheme="minorEastAsia" w:eastAsiaTheme="minorEastAsia"/>
          <w:sz w:val="24"/>
          <w:szCs w:val="24"/>
          <w:lang w:val="en-US" w:eastAsia="zh-CN"/>
        </w:rPr>
      </w:pPr>
      <w:r>
        <w:rPr>
          <w:rFonts w:hint="eastAsia" w:asciiTheme="minorEastAsia" w:hAnsiTheme="minorEastAsia"/>
          <w:sz w:val="24"/>
          <w:szCs w:val="24"/>
          <w:lang w:val="en-US" w:eastAsia="zh-CN"/>
        </w:rPr>
        <w:t>首先将显示屏划分为若干区域，如9 X 9个区域。每个区域的中心位置附近区域是</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val="en-US" w:eastAsia="zh-CN"/>
        </w:rPr>
        <w:t>测量对象区域。</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val="en-US" w:eastAsia="zh-CN"/>
        </w:rPr>
        <w:t>的视场角所覆盖区域应不大于当前被测区域。</w:t>
      </w:r>
    </w:p>
    <w:p w14:paraId="490EA223">
      <w:pPr>
        <w:bidi w:val="0"/>
        <w:ind w:firstLine="420" w:firstLineChars="0"/>
        <w:rPr>
          <w:rFonts w:hint="default" w:asciiTheme="minorEastAsia" w:hAnsiTheme="minorEastAsia" w:eastAsiaTheme="minorEastAsia"/>
          <w:sz w:val="24"/>
          <w:szCs w:val="24"/>
          <w:lang w:val="en-US" w:eastAsia="zh-CN"/>
        </w:rPr>
      </w:pPr>
      <w:bookmarkStart w:id="77" w:name="OLE_LINK20"/>
      <w:r>
        <w:rPr>
          <w:rFonts w:hint="eastAsia" w:asciiTheme="minorEastAsia" w:hAnsiTheme="minorEastAsia"/>
          <w:sz w:val="24"/>
          <w:szCs w:val="24"/>
          <w:lang w:val="en-US" w:eastAsia="zh-CN"/>
        </w:rPr>
        <w:t>校准时，应先移动显示屏的夹具水平轴和垂直轴，使得光学工作轴位于当前测量区域的中心位置附近。</w:t>
      </w:r>
      <w:bookmarkEnd w:id="77"/>
      <w:r>
        <w:rPr>
          <w:rFonts w:hint="eastAsia" w:asciiTheme="minorEastAsia" w:hAnsiTheme="minorEastAsia"/>
          <w:sz w:val="24"/>
          <w:szCs w:val="24"/>
          <w:lang w:val="en-US" w:eastAsia="zh-CN"/>
        </w:rPr>
        <w:t>旋转多维移动平台，在保持区域的中心位置</w:t>
      </w:r>
      <m:oMath>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ctrlPr>
              <w:rPr>
                <w:rFonts w:ascii="Cambria Math" w:hAnsi="Cambria Math"/>
                <w:i/>
                <w:sz w:val="24"/>
                <w:szCs w:val="24"/>
                <w:lang w:val="en-US"/>
              </w:rPr>
            </m:ctrlPr>
          </m:e>
        </m:d>
      </m:oMath>
      <w:r>
        <w:rPr>
          <w:rFonts w:hint="eastAsia" w:asciiTheme="minorEastAsia" w:hAnsiTheme="minorEastAsia"/>
          <w:sz w:val="24"/>
          <w:szCs w:val="24"/>
          <w:lang w:val="en-US" w:eastAsia="zh-CN"/>
        </w:rPr>
        <w:t>不变，改变</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val="en-US" w:eastAsia="zh-CN"/>
        </w:rPr>
        <w:t>的观察方向</w:t>
      </w:r>
      <m:oMath>
        <m:d>
          <m:dPr>
            <m:ctrlPr>
              <w:rPr>
                <w:rFonts w:ascii="Cambria Math" w:hAnsi="Cambria Math"/>
                <w:i/>
                <w:sz w:val="24"/>
                <w:szCs w:val="24"/>
                <w:lang w:val="en-US"/>
              </w:rPr>
            </m:ctrlPr>
          </m:dPr>
          <m:e>
            <m:r>
              <m:rPr/>
              <w:rPr>
                <w:rFonts w:ascii="Cambria Math" w:hAnsi="Cambria Math"/>
                <w:sz w:val="24"/>
                <w:szCs w:val="24"/>
                <w:lang w:val="en-US"/>
              </w:rPr>
              <m:t>θ</m:t>
            </m:r>
            <m:r>
              <m:rPr/>
              <w:rPr>
                <w:rFonts w:hint="default" w:ascii="Cambria Math" w:hAnsi="Cambria Math"/>
                <w:sz w:val="24"/>
                <w:szCs w:val="24"/>
                <w:lang w:val="en-US" w:eastAsia="zh-CN"/>
              </w:rPr>
              <m:t>,</m:t>
            </m:r>
            <m:r>
              <m:rPr/>
              <w:rPr>
                <w:rFonts w:ascii="Cambria Math" w:hAnsi="Cambria Math"/>
                <w:sz w:val="24"/>
                <w:szCs w:val="24"/>
                <w:lang w:val="en-US"/>
              </w:rPr>
              <m:t>φ</m:t>
            </m:r>
            <m:ctrlPr>
              <w:rPr>
                <w:rFonts w:ascii="Cambria Math" w:hAnsi="Cambria Math"/>
                <w:i/>
                <w:sz w:val="24"/>
                <w:szCs w:val="24"/>
                <w:lang w:val="en-US"/>
              </w:rPr>
            </m:ctrlPr>
          </m:e>
        </m:d>
      </m:oMath>
      <w:r>
        <w:rPr>
          <w:rFonts w:hint="eastAsia" w:hAnsi="Cambria Math"/>
          <w:i w:val="0"/>
          <w:sz w:val="24"/>
          <w:szCs w:val="24"/>
          <w:lang w:val="en-US" w:eastAsia="zh-CN"/>
        </w:rPr>
        <w:t>。其中</w:t>
      </w:r>
      <m:oMath>
        <m:d>
          <m:dPr>
            <m:ctrlPr>
              <w:rPr>
                <w:rFonts w:ascii="Cambria Math" w:hAnsi="Cambria Math"/>
                <w:i/>
                <w:sz w:val="24"/>
                <w:szCs w:val="24"/>
                <w:lang w:val="en-US"/>
              </w:rPr>
            </m:ctrlPr>
          </m:dPr>
          <m:e>
            <m:r>
              <m:rPr/>
              <w:rPr>
                <w:rFonts w:ascii="Cambria Math" w:hAnsi="Cambria Math"/>
                <w:sz w:val="24"/>
                <w:szCs w:val="24"/>
                <w:lang w:val="en-US"/>
              </w:rPr>
              <m:t>θ</m:t>
            </m:r>
            <m:r>
              <m:rPr/>
              <w:rPr>
                <w:rFonts w:hint="default" w:ascii="Cambria Math" w:hAnsi="Cambria Math"/>
                <w:sz w:val="24"/>
                <w:szCs w:val="24"/>
                <w:lang w:val="en-US" w:eastAsia="zh-CN"/>
              </w:rPr>
              <m:t>,</m:t>
            </m:r>
            <m:r>
              <m:rPr/>
              <w:rPr>
                <w:rFonts w:ascii="Cambria Math" w:hAnsi="Cambria Math"/>
                <w:sz w:val="24"/>
                <w:szCs w:val="24"/>
                <w:lang w:val="en-US"/>
              </w:rPr>
              <m:t>φ</m:t>
            </m:r>
            <m:ctrlPr>
              <w:rPr>
                <w:rFonts w:ascii="Cambria Math" w:hAnsi="Cambria Math"/>
                <w:i/>
                <w:sz w:val="24"/>
                <w:szCs w:val="24"/>
                <w:lang w:val="en-US"/>
              </w:rPr>
            </m:ctrlPr>
          </m:e>
        </m:d>
      </m:oMath>
      <w:r>
        <w:rPr>
          <w:rFonts w:hint="eastAsia" w:hAnsi="Cambria Math"/>
          <w:i w:val="0"/>
          <w:sz w:val="24"/>
          <w:szCs w:val="24"/>
          <w:lang w:val="en-US" w:eastAsia="zh-CN"/>
        </w:rPr>
        <w:t>的定义见下图2。</w:t>
      </w:r>
    </w:p>
    <w:p w14:paraId="6F81E525">
      <w:pPr>
        <w:bidi w:val="0"/>
        <w:ind w:firstLine="420" w:firstLineChars="0"/>
      </w:pPr>
      <w:r>
        <w:drawing>
          <wp:inline distT="0" distB="0" distL="114300" distR="114300">
            <wp:extent cx="4503420" cy="2551430"/>
            <wp:effectExtent l="0" t="0" r="7620" b="889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6"/>
                    <a:stretch>
                      <a:fillRect/>
                    </a:stretch>
                  </pic:blipFill>
                  <pic:spPr>
                    <a:xfrm>
                      <a:off x="0" y="0"/>
                      <a:ext cx="4503420" cy="2551430"/>
                    </a:xfrm>
                    <a:prstGeom prst="rect">
                      <a:avLst/>
                    </a:prstGeom>
                    <a:noFill/>
                    <a:ln>
                      <a:noFill/>
                    </a:ln>
                  </pic:spPr>
                </pic:pic>
              </a:graphicData>
            </a:graphic>
          </wp:inline>
        </w:drawing>
      </w:r>
    </w:p>
    <w:p w14:paraId="340A135F">
      <w:pPr>
        <w:bidi w:val="0"/>
        <w:ind w:firstLine="420" w:firstLineChars="0"/>
        <w:jc w:val="center"/>
        <w:rPr>
          <w:rFonts w:hint="eastAsia" w:hAnsi="Cambria Math"/>
          <w:i w:val="0"/>
          <w:sz w:val="22"/>
          <w:szCs w:val="22"/>
          <w:lang w:val="en-US" w:eastAsia="zh-CN"/>
        </w:rPr>
      </w:pPr>
      <w:r>
        <w:rPr>
          <w:rFonts w:hint="eastAsia"/>
          <w:sz w:val="22"/>
          <w:szCs w:val="22"/>
          <w:lang w:val="en-US" w:eastAsia="zh-CN"/>
        </w:rPr>
        <w:t>图2 显示屏的</w:t>
      </w:r>
      <w:r>
        <w:rPr>
          <w:rFonts w:hint="eastAsia" w:asciiTheme="minorEastAsia" w:hAnsiTheme="minorEastAsia"/>
          <w:sz w:val="22"/>
          <w:szCs w:val="22"/>
          <w:lang w:val="en-US" w:eastAsia="zh-CN"/>
        </w:rPr>
        <w:t>观察方向</w:t>
      </w:r>
      <m:oMath>
        <m:d>
          <m:dPr>
            <m:ctrlPr>
              <w:rPr>
                <w:rFonts w:ascii="Cambria Math" w:hAnsi="Cambria Math"/>
                <w:i/>
                <w:sz w:val="22"/>
                <w:szCs w:val="22"/>
                <w:lang w:val="en-US"/>
              </w:rPr>
            </m:ctrlPr>
          </m:dPr>
          <m:e>
            <m:r>
              <m:rPr/>
              <w:rPr>
                <w:rFonts w:ascii="Cambria Math" w:hAnsi="Cambria Math"/>
                <w:sz w:val="22"/>
                <w:szCs w:val="22"/>
                <w:lang w:val="en-US"/>
              </w:rPr>
              <m:t>θ</m:t>
            </m:r>
            <m:r>
              <m:rPr/>
              <w:rPr>
                <w:rFonts w:hint="default" w:ascii="Cambria Math" w:hAnsi="Cambria Math"/>
                <w:sz w:val="22"/>
                <w:szCs w:val="22"/>
                <w:lang w:val="en-US" w:eastAsia="zh-CN"/>
              </w:rPr>
              <m:t>,</m:t>
            </m:r>
            <m:r>
              <m:rPr/>
              <w:rPr>
                <w:rFonts w:ascii="Cambria Math" w:hAnsi="Cambria Math"/>
                <w:sz w:val="22"/>
                <w:szCs w:val="22"/>
                <w:lang w:val="en-US"/>
              </w:rPr>
              <m:t>φ</m:t>
            </m:r>
            <m:ctrlPr>
              <w:rPr>
                <w:rFonts w:ascii="Cambria Math" w:hAnsi="Cambria Math"/>
                <w:i/>
                <w:sz w:val="22"/>
                <w:szCs w:val="22"/>
                <w:lang w:val="en-US"/>
              </w:rPr>
            </m:ctrlPr>
          </m:e>
        </m:d>
      </m:oMath>
      <w:r>
        <w:rPr>
          <w:rFonts w:hint="eastAsia" w:hAnsi="Cambria Math"/>
          <w:i w:val="0"/>
          <w:sz w:val="22"/>
          <w:szCs w:val="22"/>
          <w:lang w:val="en-US" w:eastAsia="zh-CN"/>
        </w:rPr>
        <w:t>定义</w:t>
      </w:r>
    </w:p>
    <w:p w14:paraId="4095498B">
      <w:pPr>
        <w:bidi w:val="0"/>
        <w:ind w:firstLine="420" w:firstLineChars="0"/>
        <w:jc w:val="center"/>
        <w:rPr>
          <w:rFonts w:hint="eastAsia" w:hAnsi="Cambria Math"/>
          <w:i w:val="0"/>
          <w:sz w:val="24"/>
          <w:szCs w:val="24"/>
          <w:lang w:val="en-US" w:eastAsia="zh-CN"/>
        </w:rPr>
      </w:pPr>
    </w:p>
    <w:p w14:paraId="5DCC10CB">
      <w:pPr>
        <w:bidi w:val="0"/>
        <w:ind w:firstLine="420" w:firstLineChars="0"/>
        <w:jc w:val="both"/>
        <w:rPr>
          <w:rFonts w:hint="default" w:hAnsi="Cambria Math" w:eastAsiaTheme="minorEastAsia"/>
          <w:i w:val="0"/>
          <w:sz w:val="24"/>
          <w:szCs w:val="24"/>
          <w:lang w:val="en-US" w:eastAsia="zh-CN"/>
        </w:rPr>
      </w:pPr>
      <w:r>
        <w:rPr>
          <w:rFonts w:hint="eastAsia" w:asciiTheme="minorEastAsia" w:hAnsiTheme="minorEastAsia"/>
          <w:sz w:val="24"/>
          <w:szCs w:val="24"/>
          <w:lang w:val="en-US" w:eastAsia="zh-CN"/>
        </w:rPr>
        <w:t>当多维转台的旋转到目标角度后，</w:t>
      </w:r>
      <w:bookmarkStart w:id="78" w:name="OLE_LINK21"/>
      <w:r>
        <w:rPr>
          <w:rFonts w:hint="eastAsia" w:asciiTheme="minorEastAsia" w:hAnsiTheme="minorEastAsia"/>
          <w:sz w:val="24"/>
          <w:szCs w:val="24"/>
          <w:lang w:val="en-US" w:eastAsia="zh-CN"/>
        </w:rPr>
        <w:t>使用</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val="en-US" w:eastAsia="zh-CN"/>
        </w:rPr>
        <w:t>测量当前的亮度值</w:t>
      </w:r>
      <m:oMath>
        <m:r>
          <m:rPr/>
          <w:rPr>
            <w:rFonts w:hint="default" w:ascii="Cambria Math" w:hAnsi="Cambria Math"/>
            <w:sz w:val="24"/>
            <w:szCs w:val="24"/>
            <w:lang w:val="en-US" w:eastAsia="zh-CN"/>
          </w:rPr>
          <m:t>L</m:t>
        </m:r>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r>
              <m:rPr/>
              <w:rPr>
                <w:rFonts w:ascii="Cambria Math" w:hAnsi="Cambria Math"/>
                <w:sz w:val="24"/>
                <w:szCs w:val="24"/>
                <w:lang w:val="en-US"/>
              </w:rPr>
              <m:t>θ</m:t>
            </m:r>
            <m:r>
              <m:rPr/>
              <w:rPr>
                <w:rFonts w:hint="default" w:ascii="Cambria Math" w:hAnsi="Cambria Math"/>
                <w:sz w:val="24"/>
                <w:szCs w:val="24"/>
                <w:lang w:val="en-US" w:eastAsia="zh-CN"/>
              </w:rPr>
              <m:t>,</m:t>
            </m:r>
            <m:r>
              <m:rPr/>
              <w:rPr>
                <w:rFonts w:ascii="Cambria Math" w:hAnsi="Cambria Math"/>
                <w:sz w:val="24"/>
                <w:szCs w:val="24"/>
                <w:lang w:val="en-US"/>
              </w:rPr>
              <m:t>φ</m:t>
            </m:r>
            <m:ctrlPr>
              <w:rPr>
                <w:rFonts w:ascii="Cambria Math" w:hAnsi="Cambria Math"/>
                <w:i/>
                <w:sz w:val="24"/>
                <w:szCs w:val="24"/>
                <w:lang w:val="en-US"/>
              </w:rPr>
            </m:ctrlPr>
          </m:e>
        </m:d>
      </m:oMath>
      <w:r>
        <w:rPr>
          <w:rFonts w:hint="eastAsia" w:asciiTheme="minorEastAsia" w:hAnsiTheme="minorEastAsia"/>
          <w:sz w:val="24"/>
          <w:szCs w:val="24"/>
          <w:lang w:val="en-US" w:eastAsia="zh-CN"/>
        </w:rPr>
        <w:t>和色度值</w:t>
      </w:r>
      <m:oMath>
        <m:r>
          <m:rPr/>
          <w:rPr>
            <w:rFonts w:hint="default" w:ascii="Cambria Math" w:hAnsi="Cambria Math"/>
            <w:sz w:val="24"/>
            <w:szCs w:val="24"/>
            <w:lang w:val="en-US" w:eastAsia="zh-CN"/>
          </w:rPr>
          <m:t>x</m:t>
        </m:r>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r>
              <m:rPr/>
              <w:rPr>
                <w:rFonts w:ascii="Cambria Math" w:hAnsi="Cambria Math"/>
                <w:sz w:val="24"/>
                <w:szCs w:val="24"/>
                <w:lang w:val="en-US"/>
              </w:rPr>
              <m:t>θ</m:t>
            </m:r>
            <m:r>
              <m:rPr/>
              <w:rPr>
                <w:rFonts w:hint="default" w:ascii="Cambria Math" w:hAnsi="Cambria Math"/>
                <w:sz w:val="24"/>
                <w:szCs w:val="24"/>
                <w:lang w:val="en-US" w:eastAsia="zh-CN"/>
              </w:rPr>
              <m:t>,</m:t>
            </m:r>
            <m:r>
              <m:rPr/>
              <w:rPr>
                <w:rFonts w:ascii="Cambria Math" w:hAnsi="Cambria Math"/>
                <w:sz w:val="24"/>
                <w:szCs w:val="24"/>
                <w:lang w:val="en-US"/>
              </w:rPr>
              <m:t>φ</m:t>
            </m:r>
            <m:ctrlPr>
              <w:rPr>
                <w:rFonts w:ascii="Cambria Math" w:hAnsi="Cambria Math"/>
                <w:i/>
                <w:sz w:val="24"/>
                <w:szCs w:val="24"/>
                <w:lang w:val="en-US"/>
              </w:rPr>
            </m:ctrlPr>
          </m:e>
        </m:d>
      </m:oMath>
      <w:r>
        <w:rPr>
          <w:rFonts w:hint="eastAsia" w:hAnsi="Cambria Math"/>
          <w:i w:val="0"/>
          <w:sz w:val="24"/>
          <w:szCs w:val="24"/>
          <w:lang w:val="en-US" w:eastAsia="zh-CN"/>
        </w:rPr>
        <w:t xml:space="preserve">, </w:t>
      </w:r>
      <m:oMath>
        <m:r>
          <m:rPr/>
          <w:rPr>
            <w:rFonts w:hint="default" w:ascii="Cambria Math" w:hAnsi="Cambria Math"/>
            <w:sz w:val="24"/>
            <w:szCs w:val="24"/>
            <w:lang w:val="en-US" w:eastAsia="zh-CN"/>
          </w:rPr>
          <m:t>y</m:t>
        </m:r>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r>
              <m:rPr/>
              <w:rPr>
                <w:rFonts w:ascii="Cambria Math" w:hAnsi="Cambria Math"/>
                <w:sz w:val="24"/>
                <w:szCs w:val="24"/>
                <w:lang w:val="en-US"/>
              </w:rPr>
              <m:t>θ</m:t>
            </m:r>
            <m:r>
              <m:rPr/>
              <w:rPr>
                <w:rFonts w:hint="default" w:ascii="Cambria Math" w:hAnsi="Cambria Math"/>
                <w:sz w:val="24"/>
                <w:szCs w:val="24"/>
                <w:lang w:val="en-US" w:eastAsia="zh-CN"/>
              </w:rPr>
              <m:t>,</m:t>
            </m:r>
            <m:r>
              <m:rPr/>
              <w:rPr>
                <w:rFonts w:ascii="Cambria Math" w:hAnsi="Cambria Math"/>
                <w:sz w:val="24"/>
                <w:szCs w:val="24"/>
                <w:lang w:val="en-US"/>
              </w:rPr>
              <m:t>φ</m:t>
            </m:r>
            <m:ctrlPr>
              <w:rPr>
                <w:rFonts w:ascii="Cambria Math" w:hAnsi="Cambria Math"/>
                <w:i/>
                <w:sz w:val="24"/>
                <w:szCs w:val="24"/>
                <w:lang w:val="en-US"/>
              </w:rPr>
            </m:ctrlPr>
          </m:e>
        </m:d>
      </m:oMath>
      <w:r>
        <w:rPr>
          <w:rFonts w:hint="eastAsia" w:hAnsi="Cambria Math"/>
          <w:i w:val="0"/>
          <w:sz w:val="24"/>
          <w:szCs w:val="24"/>
          <w:lang w:val="en-US" w:eastAsia="zh-CN"/>
        </w:rPr>
        <w:t xml:space="preserve">, </w:t>
      </w:r>
      <m:oMath>
        <m:sSup>
          <m:sSupPr>
            <m:ctrlPr>
              <w:rPr>
                <w:rFonts w:hint="default" w:ascii="Cambria Math" w:hAnsi="Cambria Math"/>
                <w:i/>
                <w:sz w:val="24"/>
                <w:szCs w:val="24"/>
                <w:lang w:val="en-US" w:eastAsia="zh-CN"/>
              </w:rPr>
            </m:ctrlPr>
          </m:sSupPr>
          <m:e>
            <m:r>
              <m:rPr/>
              <w:rPr>
                <w:rFonts w:hint="default" w:ascii="Cambria Math" w:hAnsi="Cambria Math"/>
                <w:sz w:val="24"/>
                <w:szCs w:val="24"/>
                <w:lang w:val="en-US" w:eastAsia="zh-CN"/>
              </w:rPr>
              <m:t xml:space="preserve"> u</m:t>
            </m:r>
            <m:ctrlPr>
              <w:rPr>
                <w:rFonts w:hint="default" w:ascii="Cambria Math" w:hAnsi="Cambria Math"/>
                <w:i/>
                <w:sz w:val="24"/>
                <w:szCs w:val="24"/>
                <w:lang w:val="en-US" w:eastAsia="zh-CN"/>
              </w:rPr>
            </m:ctrlPr>
          </m:e>
          <m:sup>
            <m:r>
              <m:rPr/>
              <w:rPr>
                <w:rFonts w:hint="default" w:ascii="Cambria Math" w:hAnsi="Cambria Math"/>
                <w:sz w:val="24"/>
                <w:szCs w:val="24"/>
                <w:lang w:val="en-US" w:eastAsia="zh-CN"/>
              </w:rPr>
              <m:t>,</m:t>
            </m:r>
            <m:ctrlPr>
              <w:rPr>
                <w:rFonts w:hint="default" w:ascii="Cambria Math" w:hAnsi="Cambria Math"/>
                <w:i/>
                <w:sz w:val="24"/>
                <w:szCs w:val="24"/>
                <w:lang w:val="en-US" w:eastAsia="zh-CN"/>
              </w:rPr>
            </m:ctrlPr>
          </m:sup>
        </m:sSup>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r>
              <m:rPr/>
              <w:rPr>
                <w:rFonts w:ascii="Cambria Math" w:hAnsi="Cambria Math"/>
                <w:sz w:val="24"/>
                <w:szCs w:val="24"/>
                <w:lang w:val="en-US"/>
              </w:rPr>
              <m:t>θ</m:t>
            </m:r>
            <m:r>
              <m:rPr/>
              <w:rPr>
                <w:rFonts w:hint="default" w:ascii="Cambria Math" w:hAnsi="Cambria Math"/>
                <w:sz w:val="24"/>
                <w:szCs w:val="24"/>
                <w:lang w:val="en-US" w:eastAsia="zh-CN"/>
              </w:rPr>
              <m:t>,</m:t>
            </m:r>
            <m:r>
              <m:rPr/>
              <w:rPr>
                <w:rFonts w:ascii="Cambria Math" w:hAnsi="Cambria Math"/>
                <w:sz w:val="24"/>
                <w:szCs w:val="24"/>
                <w:lang w:val="en-US"/>
              </w:rPr>
              <m:t>φ</m:t>
            </m:r>
            <m:ctrlPr>
              <w:rPr>
                <w:rFonts w:ascii="Cambria Math" w:hAnsi="Cambria Math"/>
                <w:i/>
                <w:sz w:val="24"/>
                <w:szCs w:val="24"/>
                <w:lang w:val="en-US"/>
              </w:rPr>
            </m:ctrlPr>
          </m:e>
        </m:d>
      </m:oMath>
      <w:r>
        <w:rPr>
          <w:rFonts w:hint="eastAsia" w:hAnsi="Cambria Math"/>
          <w:i w:val="0"/>
          <w:sz w:val="24"/>
          <w:szCs w:val="24"/>
          <w:lang w:val="en-US" w:eastAsia="zh-CN"/>
        </w:rPr>
        <w:t xml:space="preserve">, </w:t>
      </w:r>
      <m:oMath>
        <m:sSup>
          <m:sSupPr>
            <m:ctrlPr>
              <w:rPr>
                <w:rFonts w:hint="default" w:ascii="Cambria Math" w:hAnsi="Cambria Math"/>
                <w:i/>
                <w:sz w:val="24"/>
                <w:szCs w:val="24"/>
                <w:lang w:val="en-US" w:eastAsia="zh-CN"/>
              </w:rPr>
            </m:ctrlPr>
          </m:sSupPr>
          <m:e>
            <m:r>
              <m:rPr/>
              <w:rPr>
                <w:rFonts w:hint="default" w:ascii="Cambria Math" w:hAnsi="Cambria Math"/>
                <w:sz w:val="24"/>
                <w:szCs w:val="24"/>
                <w:lang w:val="en-US" w:eastAsia="zh-CN"/>
              </w:rPr>
              <m:t xml:space="preserve"> v</m:t>
            </m:r>
            <m:ctrlPr>
              <w:rPr>
                <w:rFonts w:hint="default" w:ascii="Cambria Math" w:hAnsi="Cambria Math"/>
                <w:i/>
                <w:sz w:val="24"/>
                <w:szCs w:val="24"/>
                <w:lang w:val="en-US" w:eastAsia="zh-CN"/>
              </w:rPr>
            </m:ctrlPr>
          </m:e>
          <m:sup>
            <m:r>
              <m:rPr/>
              <w:rPr>
                <w:rFonts w:hint="default" w:ascii="Cambria Math" w:hAnsi="Cambria Math"/>
                <w:sz w:val="24"/>
                <w:szCs w:val="24"/>
                <w:lang w:val="en-US" w:eastAsia="zh-CN"/>
              </w:rPr>
              <m:t>,</m:t>
            </m:r>
            <m:ctrlPr>
              <w:rPr>
                <w:rFonts w:hint="default" w:ascii="Cambria Math" w:hAnsi="Cambria Math"/>
                <w:i/>
                <w:sz w:val="24"/>
                <w:szCs w:val="24"/>
                <w:lang w:val="en-US" w:eastAsia="zh-CN"/>
              </w:rPr>
            </m:ctrlPr>
          </m:sup>
        </m:sSup>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r>
              <m:rPr/>
              <w:rPr>
                <w:rFonts w:ascii="Cambria Math" w:hAnsi="Cambria Math"/>
                <w:sz w:val="24"/>
                <w:szCs w:val="24"/>
                <w:lang w:val="en-US"/>
              </w:rPr>
              <m:t>θ</m:t>
            </m:r>
            <m:r>
              <m:rPr/>
              <w:rPr>
                <w:rFonts w:hint="default" w:ascii="Cambria Math" w:hAnsi="Cambria Math"/>
                <w:sz w:val="24"/>
                <w:szCs w:val="24"/>
                <w:lang w:val="en-US" w:eastAsia="zh-CN"/>
              </w:rPr>
              <m:t>,</m:t>
            </m:r>
            <m:r>
              <m:rPr/>
              <w:rPr>
                <w:rFonts w:ascii="Cambria Math" w:hAnsi="Cambria Math"/>
                <w:sz w:val="24"/>
                <w:szCs w:val="24"/>
                <w:lang w:val="en-US"/>
              </w:rPr>
              <m:t>φ</m:t>
            </m:r>
            <m:ctrlPr>
              <w:rPr>
                <w:rFonts w:ascii="Cambria Math" w:hAnsi="Cambria Math"/>
                <w:i/>
                <w:sz w:val="24"/>
                <w:szCs w:val="24"/>
                <w:lang w:val="en-US"/>
              </w:rPr>
            </m:ctrlPr>
          </m:e>
        </m:d>
      </m:oMath>
      <w:r>
        <w:rPr>
          <w:rFonts w:hint="eastAsia" w:hAnsi="Cambria Math"/>
          <w:i w:val="0"/>
          <w:sz w:val="24"/>
          <w:szCs w:val="24"/>
          <w:lang w:val="en-US" w:eastAsia="zh-CN"/>
        </w:rPr>
        <w:t>。</w:t>
      </w:r>
      <w:bookmarkEnd w:id="78"/>
      <w:r>
        <w:rPr>
          <w:rFonts w:hint="eastAsia" w:hAnsi="Cambria Math"/>
          <w:i w:val="0"/>
          <w:sz w:val="24"/>
          <w:szCs w:val="24"/>
          <w:lang w:val="en-US" w:eastAsia="zh-CN"/>
        </w:rPr>
        <w:t>其中</w:t>
      </w:r>
      <m:oMath>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r>
          <m:rPr/>
          <w:rPr>
            <w:rFonts w:ascii="Cambria Math" w:hAnsi="Cambria Math"/>
            <w:sz w:val="24"/>
            <w:szCs w:val="24"/>
            <w:lang w:val="en-US"/>
          </w:rPr>
          <m:t>θ</m:t>
        </m:r>
        <m:r>
          <m:rPr/>
          <w:rPr>
            <w:rFonts w:hint="default" w:ascii="Cambria Math" w:hAnsi="Cambria Math"/>
            <w:sz w:val="24"/>
            <w:szCs w:val="24"/>
            <w:lang w:val="en-US" w:eastAsia="zh-CN"/>
          </w:rPr>
          <m:t>,</m:t>
        </m:r>
        <m:r>
          <m:rPr/>
          <w:rPr>
            <w:rFonts w:ascii="Cambria Math" w:hAnsi="Cambria Math"/>
            <w:sz w:val="24"/>
            <w:szCs w:val="24"/>
            <w:lang w:val="en-US"/>
          </w:rPr>
          <m:t>φ</m:t>
        </m:r>
      </m:oMath>
      <w:r>
        <w:rPr>
          <w:rFonts w:hint="eastAsia" w:hAnsi="Cambria Math"/>
          <w:i w:val="0"/>
          <w:sz w:val="24"/>
          <w:szCs w:val="24"/>
          <w:lang w:val="en-US" w:eastAsia="zh-CN"/>
        </w:rPr>
        <w:t>分是显示屏测量点中心位置坐标</w:t>
      </w:r>
      <m:oMath>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ctrlPr>
              <w:rPr>
                <w:rFonts w:ascii="Cambria Math" w:hAnsi="Cambria Math"/>
                <w:i/>
                <w:sz w:val="24"/>
                <w:szCs w:val="24"/>
                <w:lang w:val="en-US"/>
              </w:rPr>
            </m:ctrlPr>
          </m:e>
        </m:d>
      </m:oMath>
      <w:r>
        <w:rPr>
          <w:rFonts w:hint="eastAsia" w:hAnsi="Cambria Math"/>
          <w:i w:val="0"/>
          <w:sz w:val="24"/>
          <w:szCs w:val="24"/>
          <w:lang w:val="en-US" w:eastAsia="zh-CN"/>
        </w:rPr>
        <w:t>以及其观察方向</w:t>
      </w:r>
      <m:oMath>
        <m:d>
          <m:dPr>
            <m:ctrlPr>
              <w:rPr>
                <w:rFonts w:ascii="Cambria Math" w:hAnsi="Cambria Math"/>
                <w:i/>
                <w:sz w:val="24"/>
                <w:szCs w:val="24"/>
                <w:lang w:val="en-US"/>
              </w:rPr>
            </m:ctrlPr>
          </m:dPr>
          <m:e>
            <m:r>
              <m:rPr/>
              <w:rPr>
                <w:rFonts w:ascii="Cambria Math" w:hAnsi="Cambria Math"/>
                <w:sz w:val="24"/>
                <w:szCs w:val="24"/>
                <w:lang w:val="en-US"/>
              </w:rPr>
              <m:t>θ</m:t>
            </m:r>
            <m:r>
              <m:rPr/>
              <w:rPr>
                <w:rFonts w:hint="default" w:ascii="Cambria Math" w:hAnsi="Cambria Math"/>
                <w:sz w:val="24"/>
                <w:szCs w:val="24"/>
                <w:lang w:val="en-US" w:eastAsia="zh-CN"/>
              </w:rPr>
              <m:t>,</m:t>
            </m:r>
            <m:r>
              <m:rPr/>
              <w:rPr>
                <w:rFonts w:ascii="Cambria Math" w:hAnsi="Cambria Math"/>
                <w:sz w:val="24"/>
                <w:szCs w:val="24"/>
                <w:lang w:val="en-US"/>
              </w:rPr>
              <m:t>φ</m:t>
            </m:r>
            <m:ctrlPr>
              <w:rPr>
                <w:rFonts w:ascii="Cambria Math" w:hAnsi="Cambria Math"/>
                <w:i/>
                <w:sz w:val="24"/>
                <w:szCs w:val="24"/>
                <w:lang w:val="en-US"/>
              </w:rPr>
            </m:ctrlPr>
          </m:e>
        </m:d>
      </m:oMath>
      <w:r>
        <w:rPr>
          <w:rFonts w:hint="eastAsia" w:hAnsi="Cambria Math"/>
          <w:i w:val="0"/>
          <w:sz w:val="24"/>
          <w:szCs w:val="24"/>
          <w:lang w:val="en-US" w:eastAsia="zh-CN"/>
        </w:rPr>
        <w:t>。</w:t>
      </w:r>
    </w:p>
    <w:p w14:paraId="61834E0F">
      <w:pPr>
        <w:bidi w:val="0"/>
        <w:ind w:firstLine="420" w:firstLineChars="0"/>
        <w:jc w:val="both"/>
        <w:rPr>
          <w:rFonts w:hint="eastAsia" w:hAnsi="Cambria Math" w:cs="Cambria Math"/>
          <w:i w:val="0"/>
          <w:sz w:val="24"/>
          <w:szCs w:val="24"/>
          <w:lang w:val="en-US" w:eastAsia="zh-CN"/>
        </w:rPr>
      </w:pPr>
      <w:r>
        <w:rPr>
          <w:rFonts w:hint="eastAsia" w:hAnsi="Cambria Math"/>
          <w:i w:val="0"/>
          <w:sz w:val="24"/>
          <w:szCs w:val="24"/>
          <w:lang w:val="en-US" w:eastAsia="zh-CN"/>
        </w:rPr>
        <w:t>一般，</w:t>
      </w:r>
      <m:oMath>
        <m:r>
          <m:rPr/>
          <w:rPr>
            <w:rFonts w:hint="default" w:ascii="Cambria Math" w:hAnsi="Cambria Math"/>
            <w:sz w:val="24"/>
            <w:szCs w:val="24"/>
            <w:lang w:val="en-US" w:eastAsia="zh-CN"/>
          </w:rPr>
          <m:t>−50</m:t>
        </m:r>
        <m:r>
          <m:rPr/>
          <w:rPr>
            <w:rFonts w:ascii="Cambria Math" w:hAnsi="Cambria Math"/>
            <w:sz w:val="24"/>
            <w:szCs w:val="24"/>
            <w:lang w:val="en-US"/>
          </w:rPr>
          <m:t>°≤θ≤</m:t>
        </m:r>
        <m:r>
          <m:rPr/>
          <w:rPr>
            <w:rFonts w:hint="default" w:ascii="Cambria Math" w:hAnsi="Cambria Math"/>
            <w:sz w:val="24"/>
            <w:szCs w:val="24"/>
            <w:lang w:val="en-US" w:eastAsia="zh-CN"/>
          </w:rPr>
          <m:t>50</m:t>
        </m:r>
        <m:r>
          <m:rPr/>
          <w:rPr>
            <w:rFonts w:hint="default" w:ascii="Cambria Math" w:hAnsi="Cambria Math" w:cs="Cambria Math"/>
            <w:sz w:val="24"/>
            <w:szCs w:val="24"/>
            <w:lang w:val="en-US" w:eastAsia="zh-CN"/>
          </w:rPr>
          <m:t>°</m:t>
        </m:r>
      </m:oMath>
      <w:r>
        <w:rPr>
          <w:rFonts w:hint="eastAsia" w:hAnsi="Cambria Math" w:cs="Cambria Math"/>
          <w:i w:val="0"/>
          <w:sz w:val="24"/>
          <w:szCs w:val="24"/>
          <w:lang w:val="en-US" w:eastAsia="zh-CN"/>
        </w:rPr>
        <w:t>，</w:t>
      </w:r>
      <m:oMath>
        <m:r>
          <m:rPr/>
          <w:rPr>
            <w:rFonts w:ascii="Cambria Math" w:hAnsi="Cambria Math"/>
            <w:sz w:val="24"/>
            <w:szCs w:val="24"/>
            <w:lang w:val="en-US"/>
          </w:rPr>
          <m:t>θ</m:t>
        </m:r>
      </m:oMath>
      <w:r>
        <w:rPr>
          <w:rFonts w:hint="eastAsia" w:hAnsi="Cambria Math" w:cs="Cambria Math"/>
          <w:i w:val="0"/>
          <w:sz w:val="24"/>
          <w:szCs w:val="24"/>
          <w:lang w:val="en-US" w:eastAsia="zh-CN"/>
        </w:rPr>
        <w:t>间隔不大于</w:t>
      </w:r>
      <m:oMath>
        <m:r>
          <m:rPr/>
          <w:rPr>
            <w:rFonts w:hint="default" w:ascii="Cambria Math" w:hAnsi="Cambria Math"/>
            <w:sz w:val="24"/>
            <w:szCs w:val="24"/>
            <w:lang w:val="en-US" w:eastAsia="zh-CN"/>
          </w:rPr>
          <m:t>10</m:t>
        </m:r>
        <m:r>
          <m:rPr/>
          <w:rPr>
            <w:rFonts w:hint="default" w:ascii="Cambria Math" w:hAnsi="Cambria Math" w:cs="Cambria Math"/>
            <w:sz w:val="24"/>
            <w:szCs w:val="24"/>
            <w:lang w:val="en-US" w:eastAsia="zh-CN"/>
          </w:rPr>
          <m:t>°</m:t>
        </m:r>
      </m:oMath>
      <w:r>
        <w:rPr>
          <w:rFonts w:hint="eastAsia" w:hAnsi="Cambria Math" w:cs="Cambria Math"/>
          <w:i w:val="0"/>
          <w:sz w:val="24"/>
          <w:szCs w:val="24"/>
          <w:lang w:val="en-US" w:eastAsia="zh-CN"/>
        </w:rPr>
        <w:t>；</w:t>
      </w:r>
      <m:oMath>
        <m:r>
          <m:rPr/>
          <w:rPr>
            <w:rFonts w:hint="default" w:ascii="Cambria Math" w:hAnsi="Cambria Math"/>
            <w:sz w:val="24"/>
            <w:szCs w:val="24"/>
            <w:lang w:val="en-US" w:eastAsia="zh-CN"/>
          </w:rPr>
          <m:t>0</m:t>
        </m:r>
        <m:r>
          <m:rPr/>
          <w:rPr>
            <w:rFonts w:ascii="Cambria Math" w:hAnsi="Cambria Math"/>
            <w:sz w:val="24"/>
            <w:szCs w:val="24"/>
            <w:lang w:val="en-US"/>
          </w:rPr>
          <m:t>°≤φ&lt;</m:t>
        </m:r>
        <m:r>
          <m:rPr/>
          <w:rPr>
            <w:rFonts w:hint="default" w:ascii="Cambria Math" w:hAnsi="Cambria Math"/>
            <w:sz w:val="24"/>
            <w:szCs w:val="24"/>
            <w:lang w:val="en-US" w:eastAsia="zh-CN"/>
          </w:rPr>
          <m:t>180</m:t>
        </m:r>
        <m:r>
          <m:rPr/>
          <w:rPr>
            <w:rFonts w:hint="default" w:ascii="Cambria Math" w:hAnsi="Cambria Math" w:cs="Cambria Math"/>
            <w:sz w:val="24"/>
            <w:szCs w:val="24"/>
            <w:lang w:val="en-US" w:eastAsia="zh-CN"/>
          </w:rPr>
          <m:t>°</m:t>
        </m:r>
      </m:oMath>
      <w:r>
        <w:rPr>
          <w:rFonts w:hint="eastAsia" w:hAnsi="Cambria Math" w:cs="Cambria Math"/>
          <w:i w:val="0"/>
          <w:sz w:val="24"/>
          <w:szCs w:val="24"/>
          <w:lang w:val="en-US" w:eastAsia="zh-CN"/>
        </w:rPr>
        <w:t>，</w:t>
      </w:r>
      <m:oMath>
        <m:r>
          <m:rPr/>
          <w:rPr>
            <w:rFonts w:ascii="Cambria Math" w:hAnsi="Cambria Math"/>
            <w:sz w:val="24"/>
            <w:szCs w:val="24"/>
            <w:lang w:val="en-US"/>
          </w:rPr>
          <m:t>φ</m:t>
        </m:r>
      </m:oMath>
      <w:r>
        <w:rPr>
          <w:rFonts w:hint="eastAsia" w:hAnsi="Cambria Math" w:cs="Cambria Math"/>
          <w:i w:val="0"/>
          <w:sz w:val="24"/>
          <w:szCs w:val="24"/>
          <w:lang w:val="en-US" w:eastAsia="zh-CN"/>
        </w:rPr>
        <w:t>间隔不大于</w:t>
      </w:r>
      <m:oMath>
        <m:r>
          <m:rPr/>
          <w:rPr>
            <w:rFonts w:hint="default" w:ascii="Cambria Math" w:hAnsi="Cambria Math" w:cs="Cambria Math"/>
            <w:sz w:val="24"/>
            <w:szCs w:val="24"/>
            <w:lang w:val="en-US" w:eastAsia="zh-CN"/>
          </w:rPr>
          <m:t>3</m:t>
        </m:r>
        <m:r>
          <m:rPr/>
          <w:rPr>
            <w:rFonts w:hint="default" w:ascii="Cambria Math" w:hAnsi="Cambria Math"/>
            <w:sz w:val="24"/>
            <w:szCs w:val="24"/>
            <w:lang w:val="en-US" w:eastAsia="zh-CN"/>
          </w:rPr>
          <m:t>0</m:t>
        </m:r>
        <m:r>
          <m:rPr/>
          <w:rPr>
            <w:rFonts w:hint="default" w:ascii="Cambria Math" w:hAnsi="Cambria Math" w:cs="Cambria Math"/>
            <w:sz w:val="24"/>
            <w:szCs w:val="24"/>
            <w:lang w:val="en-US" w:eastAsia="zh-CN"/>
          </w:rPr>
          <m:t>°</m:t>
        </m:r>
      </m:oMath>
      <w:r>
        <w:rPr>
          <w:rFonts w:hint="eastAsia" w:hAnsi="Cambria Math" w:cs="Cambria Math"/>
          <w:i w:val="0"/>
          <w:sz w:val="24"/>
          <w:szCs w:val="24"/>
          <w:lang w:val="en-US" w:eastAsia="zh-CN"/>
        </w:rPr>
        <w:t>。</w:t>
      </w:r>
    </w:p>
    <w:p w14:paraId="2533B6A1">
      <w:pPr>
        <w:bidi w:val="0"/>
        <w:ind w:firstLine="420" w:firstLineChars="0"/>
        <w:jc w:val="both"/>
        <w:rPr>
          <w:rFonts w:hint="default" w:hAnsi="Cambria Math" w:cs="Cambria Math"/>
          <w:i w:val="0"/>
          <w:sz w:val="24"/>
          <w:szCs w:val="24"/>
          <w:lang w:val="en-US" w:eastAsia="zh-CN"/>
        </w:rPr>
      </w:pPr>
      <w:r>
        <w:rPr>
          <w:rFonts w:hint="eastAsia" w:hAnsi="Cambria Math" w:cs="Cambria Math"/>
          <w:i w:val="0"/>
          <w:sz w:val="24"/>
          <w:szCs w:val="24"/>
          <w:lang w:val="en-US" w:eastAsia="zh-CN"/>
        </w:rPr>
        <w:t>上述测试完成后，移动</w:t>
      </w:r>
      <w:r>
        <w:rPr>
          <w:rFonts w:hint="eastAsia" w:asciiTheme="minorEastAsia" w:hAnsiTheme="minorEastAsia"/>
          <w:sz w:val="24"/>
          <w:szCs w:val="24"/>
          <w:lang w:val="en-US" w:eastAsia="zh-CN"/>
        </w:rPr>
        <w:t>显示屏的夹具水平轴和垂直轴，使得光学工作轴位于下一个测量区域的中心位置附近，并重复上述测试。直到完成所有的区域测量。</w:t>
      </w:r>
    </w:p>
    <w:p w14:paraId="51C13FBB">
      <w:pPr>
        <w:bidi w:val="0"/>
        <w:rPr>
          <w:rFonts w:hint="eastAsia" w:asciiTheme="minorEastAsia" w:hAnsiTheme="minorEastAsia"/>
          <w:sz w:val="24"/>
          <w:szCs w:val="24"/>
          <w:lang w:val="en-US" w:eastAsia="zh-CN"/>
        </w:rPr>
      </w:pPr>
    </w:p>
    <w:p w14:paraId="0457E583">
      <w:pPr>
        <w:bidi w:val="0"/>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 xml:space="preserve">7.2.3 </w:t>
      </w:r>
      <w:r>
        <w:rPr>
          <w:rFonts w:hint="eastAsia"/>
          <w:lang w:val="en-US" w:eastAsia="zh-CN"/>
        </w:rPr>
        <w:t>色品坐标</w:t>
      </w:r>
      <w:r>
        <w:rPr>
          <w:rFonts w:hint="eastAsia" w:ascii="宋体" w:hAnsi="宋体" w:eastAsia="宋体" w:cs="宋体"/>
          <w:lang w:val="en-US" w:eastAsia="zh-CN"/>
        </w:rPr>
        <w:t>空间分布</w:t>
      </w:r>
    </w:p>
    <w:p w14:paraId="53E925FD">
      <w:pPr>
        <w:bidi w:val="0"/>
        <w:ind w:firstLine="420" w:firstLineChars="0"/>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设定Mini LED显示屏为全红</w:t>
      </w:r>
      <w:bookmarkStart w:id="79" w:name="OLE_LINK19"/>
      <w:r>
        <w:rPr>
          <w:rFonts w:hint="eastAsia" w:asciiTheme="minorEastAsia" w:hAnsiTheme="minorEastAsia"/>
          <w:sz w:val="24"/>
          <w:szCs w:val="24"/>
          <w:lang w:val="en-US" w:eastAsia="zh-CN"/>
        </w:rPr>
        <w:t>（R=255，G=B=0）</w:t>
      </w:r>
      <w:bookmarkEnd w:id="79"/>
      <w:r>
        <w:rPr>
          <w:rFonts w:hint="eastAsia" w:asciiTheme="minorEastAsia" w:hAnsiTheme="minorEastAsia"/>
          <w:sz w:val="24"/>
          <w:szCs w:val="24"/>
          <w:lang w:val="en-US" w:eastAsia="zh-CN"/>
        </w:rPr>
        <w:t>、全绿（G=255，R=B=0）或全蓝画面（B=255，R=G=0）,依次完成全屏幕法线方向的颜色特征测试。</w:t>
      </w:r>
    </w:p>
    <w:p w14:paraId="4C61F516">
      <w:pPr>
        <w:bidi w:val="0"/>
        <w:ind w:firstLine="420" w:firstLine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在每种颜色输出稳定后开始测试。</w:t>
      </w:r>
    </w:p>
    <w:p w14:paraId="46EF7702">
      <w:pPr>
        <w:bidi w:val="0"/>
        <w:ind w:firstLine="420" w:firstLineChars="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首先将显示屏划分为若干区域，如9 X 9个区域。每个区域的中心位置附近的颜色特性代表该区域的平均颜色特性。</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val="en-US" w:eastAsia="zh-CN"/>
        </w:rPr>
        <w:t>的视场角所覆盖面积应不大于当前被测区域。</w:t>
      </w:r>
    </w:p>
    <w:p w14:paraId="00027AB0">
      <w:pPr>
        <w:bidi w:val="0"/>
        <w:ind w:firstLine="420" w:firstLineChars="0"/>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校准前，应首先确保显示屏平面垂直于光学工作轴，即</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val="en-US" w:eastAsia="zh-CN"/>
        </w:rPr>
        <w:t>的观察方向</w:t>
      </w:r>
      <m:oMath>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ascii="Cambria Math" w:hAnsi="Cambria Math"/>
                    <w:sz w:val="24"/>
                    <w:szCs w:val="24"/>
                    <w:lang w:val="en-US"/>
                  </w:rPr>
                  <m:t>θ</m:t>
                </m:r>
                <m:ctrlPr>
                  <w:rPr>
                    <w:rFonts w:ascii="Cambria Math" w:hAnsi="Cambria Math"/>
                    <w:i/>
                    <w:sz w:val="24"/>
                    <w:szCs w:val="24"/>
                    <w:lang w:val="en-US"/>
                  </w:rPr>
                </m:ctrlPr>
              </m:e>
              <m:sub>
                <m:r>
                  <m:rPr/>
                  <w:rPr>
                    <w:rFonts w:hint="default" w:ascii="Cambria Math" w:hAnsi="Cambria Math"/>
                    <w:sz w:val="24"/>
                    <w:szCs w:val="24"/>
                    <w:lang w:val="en-US" w:eastAsia="zh-CN"/>
                  </w:rPr>
                  <m:t>0</m:t>
                </m:r>
                <m:ctrlPr>
                  <w:rPr>
                    <w:rFonts w:ascii="Cambria Math" w:hAnsi="Cambria Math"/>
                    <w:i/>
                    <w:sz w:val="24"/>
                    <w:szCs w:val="24"/>
                    <w:lang w:val="en-US"/>
                  </w:rPr>
                </m:ctrlPr>
              </m:sub>
            </m:sSub>
            <m:r>
              <m:rPr/>
              <w:rPr>
                <w:rFonts w:hint="eastAsia" w:ascii="Cambria Math" w:hAnsi="Cambria Math"/>
                <w:sz w:val="24"/>
                <w:szCs w:val="24"/>
                <w:lang w:val="en-US" w:eastAsia="zh-CN"/>
              </w:rPr>
              <m:t>=</m:t>
            </m:r>
            <m:r>
              <m:rPr/>
              <w:rPr>
                <w:rFonts w:hint="default" w:ascii="Cambria Math" w:hAnsi="Cambria Math"/>
                <w:sz w:val="24"/>
                <w:szCs w:val="24"/>
                <w:lang w:val="en-US" w:eastAsia="zh-CN"/>
              </w:rPr>
              <m:t>0,</m:t>
            </m:r>
            <m:sSub>
              <m:sSubPr>
                <m:ctrlPr>
                  <w:rPr>
                    <w:rFonts w:ascii="Cambria Math" w:hAnsi="Cambria Math"/>
                    <w:i/>
                    <w:sz w:val="24"/>
                    <w:szCs w:val="24"/>
                    <w:lang w:val="en-US"/>
                  </w:rPr>
                </m:ctrlPr>
              </m:sSubPr>
              <m:e>
                <m:r>
                  <m:rPr/>
                  <w:rPr>
                    <w:rFonts w:ascii="Cambria Math" w:hAnsi="Cambria Math"/>
                    <w:sz w:val="24"/>
                    <w:szCs w:val="24"/>
                    <w:lang w:val="en-US"/>
                  </w:rPr>
                  <m:t>φ</m:t>
                </m:r>
                <m:ctrlPr>
                  <w:rPr>
                    <w:rFonts w:ascii="Cambria Math" w:hAnsi="Cambria Math"/>
                    <w:i/>
                    <w:sz w:val="24"/>
                    <w:szCs w:val="24"/>
                    <w:lang w:val="en-US"/>
                  </w:rPr>
                </m:ctrlPr>
              </m:e>
              <m:sub>
                <m:r>
                  <m:rPr/>
                  <w:rPr>
                    <w:rFonts w:hint="default" w:ascii="Cambria Math" w:hAnsi="Cambria Math"/>
                    <w:sz w:val="24"/>
                    <w:szCs w:val="24"/>
                    <w:lang w:val="en-US" w:eastAsia="zh-CN"/>
                  </w:rPr>
                  <m:t>0</m:t>
                </m:r>
                <m:ctrlPr>
                  <w:rPr>
                    <w:rFonts w:ascii="Cambria Math" w:hAnsi="Cambria Math"/>
                    <w:i/>
                    <w:sz w:val="24"/>
                    <w:szCs w:val="24"/>
                    <w:lang w:val="en-US"/>
                  </w:rPr>
                </m:ctrlPr>
              </m:sub>
            </m:sSub>
            <m:r>
              <m:rPr/>
              <w:rPr>
                <w:rFonts w:hint="eastAsia" w:ascii="Cambria Math" w:hAnsi="Cambria Math"/>
                <w:sz w:val="24"/>
                <w:szCs w:val="24"/>
                <w:lang w:val="en-US" w:eastAsia="zh-CN"/>
              </w:rPr>
              <m:t>=</m:t>
            </m:r>
            <m:r>
              <m:rPr/>
              <w:rPr>
                <w:rFonts w:hint="default" w:ascii="Cambria Math" w:hAnsi="Cambria Math"/>
                <w:sz w:val="24"/>
                <w:szCs w:val="24"/>
                <w:lang w:val="en-US" w:eastAsia="zh-CN"/>
              </w:rPr>
              <m:t>0</m:t>
            </m:r>
            <m:ctrlPr>
              <w:rPr>
                <w:rFonts w:ascii="Cambria Math" w:hAnsi="Cambria Math"/>
                <w:i/>
                <w:sz w:val="24"/>
                <w:szCs w:val="24"/>
                <w:lang w:val="en-US"/>
              </w:rPr>
            </m:ctrlPr>
          </m:e>
        </m:d>
      </m:oMath>
      <w:r>
        <w:rPr>
          <w:rFonts w:hint="eastAsia" w:asciiTheme="minorEastAsia" w:hAnsiTheme="minorEastAsia"/>
          <w:sz w:val="24"/>
          <w:szCs w:val="24"/>
          <w:lang w:val="en-US" w:eastAsia="zh-CN"/>
        </w:rPr>
        <w:t>。</w:t>
      </w:r>
    </w:p>
    <w:p w14:paraId="330BD73C">
      <w:pPr>
        <w:bidi w:val="0"/>
        <w:ind w:firstLine="420" w:firstLineChars="0"/>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校准时，应先移动显示屏的夹具水平轴和垂直轴，使得光学工作轴位于当前测量区域的中心位置附近</w:t>
      </w:r>
      <m:oMath>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ctrlPr>
              <w:rPr>
                <w:rFonts w:ascii="Cambria Math" w:hAnsi="Cambria Math"/>
                <w:i/>
                <w:sz w:val="24"/>
                <w:szCs w:val="24"/>
                <w:lang w:val="en-US"/>
              </w:rPr>
            </m:ctrlPr>
          </m:e>
        </m:d>
      </m:oMath>
      <w:r>
        <w:rPr>
          <w:rFonts w:hint="eastAsia" w:asciiTheme="minorEastAsia" w:hAnsiTheme="minorEastAsia"/>
          <w:sz w:val="24"/>
          <w:szCs w:val="24"/>
          <w:lang w:val="en-US" w:eastAsia="zh-CN"/>
        </w:rPr>
        <w:t>。使用</w:t>
      </w:r>
      <w:r>
        <w:rPr>
          <w:rFonts w:hint="eastAsia" w:asciiTheme="minorEastAsia" w:hAnsiTheme="minorEastAsia" w:eastAsiaTheme="minorEastAsia"/>
          <w:sz w:val="24"/>
          <w:szCs w:val="24"/>
        </w:rPr>
        <w:t>光谱辐射亮度计</w:t>
      </w:r>
      <w:r>
        <w:rPr>
          <w:rFonts w:hint="eastAsia" w:asciiTheme="minorEastAsia" w:hAnsiTheme="minorEastAsia"/>
          <w:sz w:val="24"/>
          <w:szCs w:val="24"/>
          <w:lang w:val="en-US" w:eastAsia="zh-CN"/>
        </w:rPr>
        <w:t>测量当前的色度值</w:t>
      </w:r>
      <m:oMath>
        <m:r>
          <m:rPr/>
          <w:rPr>
            <w:rFonts w:hint="default" w:ascii="Cambria Math" w:hAnsi="Cambria Math"/>
            <w:sz w:val="24"/>
            <w:szCs w:val="24"/>
            <w:lang w:val="en-US" w:eastAsia="zh-CN"/>
          </w:rPr>
          <m:t>x</m:t>
        </m:r>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ascii="Cambria Math" w:hAnsi="Cambria Math"/>
                    <w:sz w:val="24"/>
                    <w:szCs w:val="24"/>
                    <w:lang w:val="en-US"/>
                  </w:rPr>
                  <m:t>θ</m:t>
                </m:r>
                <m:ctrlPr>
                  <w:rPr>
                    <w:rFonts w:ascii="Cambria Math" w:hAnsi="Cambria Math"/>
                    <w:i/>
                    <w:sz w:val="24"/>
                    <w:szCs w:val="24"/>
                    <w:lang w:val="en-US"/>
                  </w:rPr>
                </m:ctrlPr>
              </m:e>
              <m:sub>
                <m:r>
                  <m:rPr/>
                  <w:rPr>
                    <w:rFonts w:hint="default" w:ascii="Cambria Math" w:hAnsi="Cambria Math"/>
                    <w:sz w:val="24"/>
                    <w:szCs w:val="24"/>
                    <w:lang w:val="en-US" w:eastAsia="zh-CN"/>
                  </w:rPr>
                  <m:t>0</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ascii="Cambria Math" w:hAnsi="Cambria Math"/>
                    <w:sz w:val="24"/>
                    <w:szCs w:val="24"/>
                    <w:lang w:val="en-US"/>
                  </w:rPr>
                  <m:t>φ</m:t>
                </m:r>
                <m:ctrlPr>
                  <w:rPr>
                    <w:rFonts w:ascii="Cambria Math" w:hAnsi="Cambria Math"/>
                    <w:i/>
                    <w:sz w:val="24"/>
                    <w:szCs w:val="24"/>
                    <w:lang w:val="en-US"/>
                  </w:rPr>
                </m:ctrlPr>
              </m:e>
              <m:sub>
                <m:r>
                  <m:rPr/>
                  <w:rPr>
                    <w:rFonts w:hint="default" w:ascii="Cambria Math" w:hAnsi="Cambria Math"/>
                    <w:sz w:val="24"/>
                    <w:szCs w:val="24"/>
                    <w:lang w:val="en-US" w:eastAsia="zh-CN"/>
                  </w:rPr>
                  <m:t>0</m:t>
                </m:r>
                <m:ctrlPr>
                  <w:rPr>
                    <w:rFonts w:ascii="Cambria Math" w:hAnsi="Cambria Math"/>
                    <w:i/>
                    <w:sz w:val="24"/>
                    <w:szCs w:val="24"/>
                    <w:lang w:val="en-US"/>
                  </w:rPr>
                </m:ctrlPr>
              </m:sub>
            </m:sSub>
            <m:ctrlPr>
              <w:rPr>
                <w:rFonts w:ascii="Cambria Math" w:hAnsi="Cambria Math"/>
                <w:i/>
                <w:sz w:val="24"/>
                <w:szCs w:val="24"/>
                <w:lang w:val="en-US"/>
              </w:rPr>
            </m:ctrlPr>
          </m:e>
        </m:d>
      </m:oMath>
      <w:r>
        <w:rPr>
          <w:rFonts w:hint="eastAsia" w:hAnsi="Cambria Math"/>
          <w:i w:val="0"/>
          <w:sz w:val="24"/>
          <w:szCs w:val="24"/>
          <w:lang w:val="en-US" w:eastAsia="zh-CN"/>
        </w:rPr>
        <w:t xml:space="preserve">,  </w:t>
      </w:r>
      <m:oMath>
        <m:r>
          <m:rPr/>
          <w:rPr>
            <w:rFonts w:hint="default" w:ascii="Cambria Math" w:hAnsi="Cambria Math"/>
            <w:sz w:val="24"/>
            <w:szCs w:val="24"/>
            <w:lang w:val="en-US" w:eastAsia="zh-CN"/>
          </w:rPr>
          <m:t>y</m:t>
        </m:r>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ascii="Cambria Math" w:hAnsi="Cambria Math"/>
                    <w:sz w:val="24"/>
                    <w:szCs w:val="24"/>
                    <w:lang w:val="en-US"/>
                  </w:rPr>
                  <m:t>θ</m:t>
                </m:r>
                <m:ctrlPr>
                  <w:rPr>
                    <w:rFonts w:ascii="Cambria Math" w:hAnsi="Cambria Math"/>
                    <w:i/>
                    <w:sz w:val="24"/>
                    <w:szCs w:val="24"/>
                    <w:lang w:val="en-US"/>
                  </w:rPr>
                </m:ctrlPr>
              </m:e>
              <m:sub>
                <m:r>
                  <m:rPr/>
                  <w:rPr>
                    <w:rFonts w:hint="default" w:ascii="Cambria Math" w:hAnsi="Cambria Math"/>
                    <w:sz w:val="24"/>
                    <w:szCs w:val="24"/>
                    <w:lang w:val="en-US" w:eastAsia="zh-CN"/>
                  </w:rPr>
                  <m:t>0</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ascii="Cambria Math" w:hAnsi="Cambria Math"/>
                    <w:sz w:val="24"/>
                    <w:szCs w:val="24"/>
                    <w:lang w:val="en-US"/>
                  </w:rPr>
                  <m:t>φ</m:t>
                </m:r>
                <m:ctrlPr>
                  <w:rPr>
                    <w:rFonts w:ascii="Cambria Math" w:hAnsi="Cambria Math"/>
                    <w:i/>
                    <w:sz w:val="24"/>
                    <w:szCs w:val="24"/>
                    <w:lang w:val="en-US"/>
                  </w:rPr>
                </m:ctrlPr>
              </m:e>
              <m:sub>
                <m:r>
                  <m:rPr/>
                  <w:rPr>
                    <w:rFonts w:hint="default" w:ascii="Cambria Math" w:hAnsi="Cambria Math"/>
                    <w:sz w:val="24"/>
                    <w:szCs w:val="24"/>
                    <w:lang w:val="en-US" w:eastAsia="zh-CN"/>
                  </w:rPr>
                  <m:t>0</m:t>
                </m:r>
                <m:ctrlPr>
                  <w:rPr>
                    <w:rFonts w:ascii="Cambria Math" w:hAnsi="Cambria Math"/>
                    <w:i/>
                    <w:sz w:val="24"/>
                    <w:szCs w:val="24"/>
                    <w:lang w:val="en-US"/>
                  </w:rPr>
                </m:ctrlPr>
              </m:sub>
            </m:sSub>
            <m:ctrlPr>
              <w:rPr>
                <w:rFonts w:ascii="Cambria Math" w:hAnsi="Cambria Math"/>
                <w:i/>
                <w:sz w:val="24"/>
                <w:szCs w:val="24"/>
                <w:lang w:val="en-US"/>
              </w:rPr>
            </m:ctrlPr>
          </m:e>
        </m:d>
      </m:oMath>
      <w:r>
        <w:rPr>
          <w:rFonts w:hint="eastAsia" w:hAnsi="Cambria Math"/>
          <w:i w:val="0"/>
          <w:sz w:val="24"/>
          <w:szCs w:val="24"/>
          <w:lang w:val="en-US" w:eastAsia="zh-CN"/>
        </w:rPr>
        <w:t xml:space="preserve">, </w:t>
      </w:r>
      <m:oMath>
        <m:sSup>
          <m:sSupPr>
            <m:ctrlPr>
              <w:rPr>
                <w:rFonts w:hint="default" w:ascii="Cambria Math" w:hAnsi="Cambria Math"/>
                <w:i/>
                <w:sz w:val="24"/>
                <w:szCs w:val="24"/>
                <w:lang w:val="en-US" w:eastAsia="zh-CN"/>
              </w:rPr>
            </m:ctrlPr>
          </m:sSupPr>
          <m:e>
            <m:r>
              <m:rPr/>
              <w:rPr>
                <w:rFonts w:hint="default" w:ascii="Cambria Math" w:hAnsi="Cambria Math"/>
                <w:sz w:val="24"/>
                <w:szCs w:val="24"/>
                <w:lang w:val="en-US" w:eastAsia="zh-CN"/>
              </w:rPr>
              <m:t xml:space="preserve"> u</m:t>
            </m:r>
            <m:ctrlPr>
              <w:rPr>
                <w:rFonts w:hint="default" w:ascii="Cambria Math" w:hAnsi="Cambria Math"/>
                <w:i/>
                <w:sz w:val="24"/>
                <w:szCs w:val="24"/>
                <w:lang w:val="en-US" w:eastAsia="zh-CN"/>
              </w:rPr>
            </m:ctrlPr>
          </m:e>
          <m:sup>
            <m:r>
              <m:rPr/>
              <w:rPr>
                <w:rFonts w:hint="default" w:ascii="Cambria Math" w:hAnsi="Cambria Math"/>
                <w:sz w:val="24"/>
                <w:szCs w:val="24"/>
                <w:lang w:val="en-US" w:eastAsia="zh-CN"/>
              </w:rPr>
              <m:t>,</m:t>
            </m:r>
            <m:ctrlPr>
              <w:rPr>
                <w:rFonts w:hint="default" w:ascii="Cambria Math" w:hAnsi="Cambria Math"/>
                <w:i/>
                <w:sz w:val="24"/>
                <w:szCs w:val="24"/>
                <w:lang w:val="en-US" w:eastAsia="zh-CN"/>
              </w:rPr>
            </m:ctrlPr>
          </m:sup>
        </m:sSup>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ascii="Cambria Math" w:hAnsi="Cambria Math"/>
                    <w:sz w:val="24"/>
                    <w:szCs w:val="24"/>
                    <w:lang w:val="en-US"/>
                  </w:rPr>
                  <m:t>θ</m:t>
                </m:r>
                <m:ctrlPr>
                  <w:rPr>
                    <w:rFonts w:ascii="Cambria Math" w:hAnsi="Cambria Math"/>
                    <w:i/>
                    <w:sz w:val="24"/>
                    <w:szCs w:val="24"/>
                    <w:lang w:val="en-US"/>
                  </w:rPr>
                </m:ctrlPr>
              </m:e>
              <m:sub>
                <m:r>
                  <m:rPr/>
                  <w:rPr>
                    <w:rFonts w:hint="default" w:ascii="Cambria Math" w:hAnsi="Cambria Math"/>
                    <w:sz w:val="24"/>
                    <w:szCs w:val="24"/>
                    <w:lang w:val="en-US" w:eastAsia="zh-CN"/>
                  </w:rPr>
                  <m:t>0</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ascii="Cambria Math" w:hAnsi="Cambria Math"/>
                    <w:sz w:val="24"/>
                    <w:szCs w:val="24"/>
                    <w:lang w:val="en-US"/>
                  </w:rPr>
                  <m:t>φ</m:t>
                </m:r>
                <m:ctrlPr>
                  <w:rPr>
                    <w:rFonts w:ascii="Cambria Math" w:hAnsi="Cambria Math"/>
                    <w:i/>
                    <w:sz w:val="24"/>
                    <w:szCs w:val="24"/>
                    <w:lang w:val="en-US"/>
                  </w:rPr>
                </m:ctrlPr>
              </m:e>
              <m:sub>
                <m:r>
                  <m:rPr/>
                  <w:rPr>
                    <w:rFonts w:hint="default" w:ascii="Cambria Math" w:hAnsi="Cambria Math"/>
                    <w:sz w:val="24"/>
                    <w:szCs w:val="24"/>
                    <w:lang w:val="en-US" w:eastAsia="zh-CN"/>
                  </w:rPr>
                  <m:t>0</m:t>
                </m:r>
                <m:ctrlPr>
                  <w:rPr>
                    <w:rFonts w:ascii="Cambria Math" w:hAnsi="Cambria Math"/>
                    <w:i/>
                    <w:sz w:val="24"/>
                    <w:szCs w:val="24"/>
                    <w:lang w:val="en-US"/>
                  </w:rPr>
                </m:ctrlPr>
              </m:sub>
            </m:sSub>
            <m:ctrlPr>
              <w:rPr>
                <w:rFonts w:ascii="Cambria Math" w:hAnsi="Cambria Math"/>
                <w:i/>
                <w:sz w:val="24"/>
                <w:szCs w:val="24"/>
                <w:lang w:val="en-US"/>
              </w:rPr>
            </m:ctrlPr>
          </m:e>
        </m:d>
      </m:oMath>
      <w:r>
        <w:rPr>
          <w:rFonts w:hint="eastAsia" w:hAnsi="Cambria Math"/>
          <w:i w:val="0"/>
          <w:sz w:val="24"/>
          <w:szCs w:val="24"/>
          <w:lang w:val="en-US" w:eastAsia="zh-CN"/>
        </w:rPr>
        <w:t xml:space="preserve">, </w:t>
      </w:r>
      <m:oMath>
        <m:sSup>
          <m:sSupPr>
            <m:ctrlPr>
              <w:rPr>
                <w:rFonts w:hint="default" w:ascii="Cambria Math" w:hAnsi="Cambria Math"/>
                <w:i/>
                <w:sz w:val="24"/>
                <w:szCs w:val="24"/>
                <w:lang w:val="en-US" w:eastAsia="zh-CN"/>
              </w:rPr>
            </m:ctrlPr>
          </m:sSupPr>
          <m:e>
            <m:r>
              <m:rPr/>
              <w:rPr>
                <w:rFonts w:hint="default" w:ascii="Cambria Math" w:hAnsi="Cambria Math"/>
                <w:sz w:val="24"/>
                <w:szCs w:val="24"/>
                <w:lang w:val="en-US" w:eastAsia="zh-CN"/>
              </w:rPr>
              <m:t xml:space="preserve"> v</m:t>
            </m:r>
            <m:ctrlPr>
              <w:rPr>
                <w:rFonts w:hint="default" w:ascii="Cambria Math" w:hAnsi="Cambria Math"/>
                <w:i/>
                <w:sz w:val="24"/>
                <w:szCs w:val="24"/>
                <w:lang w:val="en-US" w:eastAsia="zh-CN"/>
              </w:rPr>
            </m:ctrlPr>
          </m:e>
          <m:sup>
            <m:r>
              <m:rPr/>
              <w:rPr>
                <w:rFonts w:hint="default" w:ascii="Cambria Math" w:hAnsi="Cambria Math"/>
                <w:sz w:val="24"/>
                <w:szCs w:val="24"/>
                <w:lang w:val="en-US" w:eastAsia="zh-CN"/>
              </w:rPr>
              <m:t>,</m:t>
            </m:r>
            <m:ctrlPr>
              <w:rPr>
                <w:rFonts w:hint="default" w:ascii="Cambria Math" w:hAnsi="Cambria Math"/>
                <w:i/>
                <w:sz w:val="24"/>
                <w:szCs w:val="24"/>
                <w:lang w:val="en-US" w:eastAsia="zh-CN"/>
              </w:rPr>
            </m:ctrlPr>
          </m:sup>
        </m:sSup>
        <m:d>
          <m:dPr>
            <m:ctrlPr>
              <w:rPr>
                <w:rFonts w:ascii="Cambria Math" w:hAnsi="Cambria Math"/>
                <w:i/>
                <w:sz w:val="24"/>
                <w:szCs w:val="24"/>
                <w:lang w:val="en-US"/>
              </w:rPr>
            </m:ctrlPr>
          </m:dPr>
          <m:e>
            <m:sSub>
              <m:sSubPr>
                <m:ctrlPr>
                  <w:rPr>
                    <w:rFonts w:ascii="Cambria Math" w:hAnsi="Cambria Math"/>
                    <w:i/>
                    <w:sz w:val="24"/>
                    <w:szCs w:val="24"/>
                    <w:lang w:val="en-US"/>
                  </w:rPr>
                </m:ctrlPr>
              </m:sSubPr>
              <m:e>
                <m:r>
                  <m:rPr/>
                  <w:rPr>
                    <w:rFonts w:hint="default" w:ascii="Cambria Math" w:hAnsi="Cambria Math"/>
                    <w:sz w:val="24"/>
                    <w:szCs w:val="24"/>
                    <w:lang w:val="en-US" w:eastAsia="zh-CN"/>
                  </w:rPr>
                  <m:t>x</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hint="default" w:ascii="Cambria Math" w:hAnsi="Cambria Math"/>
                    <w:sz w:val="24"/>
                    <w:szCs w:val="24"/>
                    <w:lang w:val="en-US" w:eastAsia="zh-CN"/>
                  </w:rPr>
                  <m:t>y</m:t>
                </m:r>
                <m:ctrlPr>
                  <w:rPr>
                    <w:rFonts w:ascii="Cambria Math" w:hAnsi="Cambria Math"/>
                    <w:i/>
                    <w:sz w:val="24"/>
                    <w:szCs w:val="24"/>
                    <w:lang w:val="en-US"/>
                  </w:rPr>
                </m:ctrlPr>
              </m:e>
              <m:sub>
                <m:r>
                  <m:rPr/>
                  <w:rPr>
                    <w:rFonts w:hint="default" w:ascii="Cambria Math" w:hAnsi="Cambria Math"/>
                    <w:sz w:val="24"/>
                    <w:szCs w:val="24"/>
                    <w:lang w:val="en-US" w:eastAsia="zh-CN"/>
                  </w:rPr>
                  <m:t>1</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ascii="Cambria Math" w:hAnsi="Cambria Math"/>
                    <w:sz w:val="24"/>
                    <w:szCs w:val="24"/>
                    <w:lang w:val="en-US"/>
                  </w:rPr>
                  <m:t>θ</m:t>
                </m:r>
                <m:ctrlPr>
                  <w:rPr>
                    <w:rFonts w:ascii="Cambria Math" w:hAnsi="Cambria Math"/>
                    <w:i/>
                    <w:sz w:val="24"/>
                    <w:szCs w:val="24"/>
                    <w:lang w:val="en-US"/>
                  </w:rPr>
                </m:ctrlPr>
              </m:e>
              <m:sub>
                <m:r>
                  <m:rPr/>
                  <w:rPr>
                    <w:rFonts w:hint="default" w:ascii="Cambria Math" w:hAnsi="Cambria Math"/>
                    <w:sz w:val="24"/>
                    <w:szCs w:val="24"/>
                    <w:lang w:val="en-US" w:eastAsia="zh-CN"/>
                  </w:rPr>
                  <m:t>0</m:t>
                </m:r>
                <m:ctrlPr>
                  <w:rPr>
                    <w:rFonts w:ascii="Cambria Math" w:hAnsi="Cambria Math"/>
                    <w:i/>
                    <w:sz w:val="24"/>
                    <w:szCs w:val="24"/>
                    <w:lang w:val="en-US"/>
                  </w:rPr>
                </m:ctrlPr>
              </m:sub>
            </m:sSub>
            <m:r>
              <m:rPr/>
              <w:rPr>
                <w:rFonts w:hint="default" w:ascii="Cambria Math" w:hAnsi="Cambria Math"/>
                <w:sz w:val="24"/>
                <w:szCs w:val="24"/>
                <w:lang w:val="en-US" w:eastAsia="zh-CN"/>
              </w:rPr>
              <m:t>,</m:t>
            </m:r>
            <m:sSub>
              <m:sSubPr>
                <m:ctrlPr>
                  <w:rPr>
                    <w:rFonts w:ascii="Cambria Math" w:hAnsi="Cambria Math"/>
                    <w:i/>
                    <w:sz w:val="24"/>
                    <w:szCs w:val="24"/>
                    <w:lang w:val="en-US"/>
                  </w:rPr>
                </m:ctrlPr>
              </m:sSubPr>
              <m:e>
                <m:r>
                  <m:rPr/>
                  <w:rPr>
                    <w:rFonts w:ascii="Cambria Math" w:hAnsi="Cambria Math"/>
                    <w:sz w:val="24"/>
                    <w:szCs w:val="24"/>
                    <w:lang w:val="en-US"/>
                  </w:rPr>
                  <m:t>φ</m:t>
                </m:r>
                <m:ctrlPr>
                  <w:rPr>
                    <w:rFonts w:ascii="Cambria Math" w:hAnsi="Cambria Math"/>
                    <w:i/>
                    <w:sz w:val="24"/>
                    <w:szCs w:val="24"/>
                    <w:lang w:val="en-US"/>
                  </w:rPr>
                </m:ctrlPr>
              </m:e>
              <m:sub>
                <m:r>
                  <m:rPr/>
                  <w:rPr>
                    <w:rFonts w:hint="default" w:ascii="Cambria Math" w:hAnsi="Cambria Math"/>
                    <w:sz w:val="24"/>
                    <w:szCs w:val="24"/>
                    <w:lang w:val="en-US" w:eastAsia="zh-CN"/>
                  </w:rPr>
                  <m:t>0</m:t>
                </m:r>
                <m:ctrlPr>
                  <w:rPr>
                    <w:rFonts w:ascii="Cambria Math" w:hAnsi="Cambria Math"/>
                    <w:i/>
                    <w:sz w:val="24"/>
                    <w:szCs w:val="24"/>
                    <w:lang w:val="en-US"/>
                  </w:rPr>
                </m:ctrlPr>
              </m:sub>
            </m:sSub>
            <m:ctrlPr>
              <w:rPr>
                <w:rFonts w:ascii="Cambria Math" w:hAnsi="Cambria Math"/>
                <w:i/>
                <w:sz w:val="24"/>
                <w:szCs w:val="24"/>
                <w:lang w:val="en-US"/>
              </w:rPr>
            </m:ctrlPr>
          </m:e>
        </m:d>
      </m:oMath>
      <w:r>
        <w:rPr>
          <w:rFonts w:hint="eastAsia" w:hAnsi="Cambria Math"/>
          <w:i w:val="0"/>
          <w:sz w:val="24"/>
          <w:szCs w:val="24"/>
          <w:lang w:val="en-US" w:eastAsia="zh-CN"/>
        </w:rPr>
        <w:t>。</w:t>
      </w:r>
    </w:p>
    <w:p w14:paraId="6AEDBE04">
      <w:pPr>
        <w:bidi w:val="0"/>
        <w:ind w:firstLine="420" w:firstLineChars="0"/>
        <w:jc w:val="both"/>
        <w:rPr>
          <w:rFonts w:hint="default" w:hAnsi="Cambria Math" w:cs="Cambria Math"/>
          <w:i w:val="0"/>
          <w:sz w:val="24"/>
          <w:szCs w:val="24"/>
          <w:lang w:val="en-US" w:eastAsia="zh-CN"/>
        </w:rPr>
      </w:pPr>
      <w:r>
        <w:rPr>
          <w:rFonts w:hint="eastAsia" w:hAnsi="Cambria Math" w:cs="Cambria Math"/>
          <w:i w:val="0"/>
          <w:sz w:val="24"/>
          <w:szCs w:val="24"/>
          <w:lang w:val="en-US" w:eastAsia="zh-CN"/>
        </w:rPr>
        <w:t>上述测试完成后，移动</w:t>
      </w:r>
      <w:r>
        <w:rPr>
          <w:rFonts w:hint="eastAsia" w:asciiTheme="minorEastAsia" w:hAnsiTheme="minorEastAsia"/>
          <w:sz w:val="24"/>
          <w:szCs w:val="24"/>
          <w:lang w:val="en-US" w:eastAsia="zh-CN"/>
        </w:rPr>
        <w:t>显示屏的夹具水平轴和垂直轴，使得光学工作轴位于下一个测量区域的中心位置附近，并重复上述测试。直到完成所有的区域测量。</w:t>
      </w:r>
    </w:p>
    <w:p w14:paraId="73EC4D1E">
      <w:pPr>
        <w:bidi w:val="0"/>
        <w:jc w:val="both"/>
        <w:rPr>
          <w:rFonts w:hint="default" w:hAnsi="Cambria Math" w:cs="Cambria Math"/>
          <w:i w:val="0"/>
          <w:sz w:val="24"/>
          <w:szCs w:val="24"/>
          <w:lang w:val="en-US" w:eastAsia="zh-CN"/>
        </w:rPr>
      </w:pPr>
    </w:p>
    <w:p w14:paraId="4030385B">
      <w:pPr>
        <w:pStyle w:val="15"/>
        <w:rPr>
          <w:rFonts w:hint="eastAsia"/>
        </w:rPr>
      </w:pPr>
      <w:bookmarkStart w:id="80" w:name="_Toc14718"/>
      <w:bookmarkStart w:id="81" w:name="_Toc17682"/>
      <w:bookmarkStart w:id="82" w:name="_Toc16467"/>
      <w:bookmarkStart w:id="83" w:name="_Toc6886"/>
      <w:bookmarkStart w:id="84" w:name="_Toc4385"/>
      <w:bookmarkStart w:id="85" w:name="_Toc301161832"/>
      <w:bookmarkStart w:id="86" w:name="_Toc29354"/>
      <w:bookmarkStart w:id="87" w:name="_Toc14651"/>
      <w:r>
        <w:rPr>
          <w:rFonts w:hint="eastAsia"/>
          <w:lang w:val="en-US" w:eastAsia="zh-CN"/>
        </w:rPr>
        <w:t>8</w:t>
      </w:r>
      <w:r>
        <w:t xml:space="preserve">  </w:t>
      </w:r>
      <w:r>
        <w:rPr>
          <w:rFonts w:hint="eastAsia"/>
        </w:rPr>
        <w:t>校准结果表达</w:t>
      </w:r>
      <w:bookmarkEnd w:id="80"/>
      <w:bookmarkEnd w:id="81"/>
      <w:bookmarkEnd w:id="82"/>
      <w:bookmarkEnd w:id="83"/>
      <w:bookmarkEnd w:id="84"/>
      <w:bookmarkEnd w:id="85"/>
      <w:bookmarkEnd w:id="86"/>
      <w:bookmarkEnd w:id="87"/>
    </w:p>
    <w:p w14:paraId="7F9AB75E">
      <w:pPr>
        <w:ind w:firstLine="480" w:firstLineChars="200"/>
        <w:rPr>
          <w:rFonts w:ascii="宋体" w:hAnsi="宋体"/>
        </w:rPr>
      </w:pPr>
      <w:r>
        <w:rPr>
          <w:rFonts w:ascii="宋体" w:hAnsi="宋体"/>
        </w:rPr>
        <w:t>校准</w:t>
      </w:r>
      <w:r>
        <w:rPr>
          <w:rFonts w:hint="eastAsia" w:ascii="宋体" w:hAnsi="宋体"/>
        </w:rPr>
        <w:t>结果应在校准证书或校准报告上反映，</w:t>
      </w:r>
      <w:r>
        <w:rPr>
          <w:rFonts w:ascii="宋体" w:hAnsi="宋体"/>
        </w:rPr>
        <w:t>校准证书</w:t>
      </w:r>
      <w:r>
        <w:rPr>
          <w:rFonts w:hint="eastAsia" w:ascii="宋体" w:hAnsi="宋体"/>
        </w:rPr>
        <w:t>数据页格式</w:t>
      </w:r>
      <w:r>
        <w:rPr>
          <w:rFonts w:ascii="宋体" w:hAnsi="宋体"/>
        </w:rPr>
        <w:t>见附录A。</w:t>
      </w:r>
      <w:r>
        <w:rPr>
          <w:rFonts w:hint="eastAsia" w:ascii="宋体" w:hAnsi="宋体"/>
        </w:rPr>
        <w:t>校准证书或校准报告</w:t>
      </w:r>
      <w:r>
        <w:rPr>
          <w:rFonts w:ascii="宋体" w:hAnsi="宋体"/>
        </w:rPr>
        <w:t>应至少包括以下信息：</w:t>
      </w:r>
    </w:p>
    <w:p w14:paraId="750AA941">
      <w:pPr>
        <w:rPr>
          <w:rFonts w:ascii="宋体" w:hAnsi="宋体"/>
        </w:rPr>
      </w:pPr>
      <w:r>
        <w:rPr>
          <w:rFonts w:ascii="宋体" w:hAnsi="宋体"/>
        </w:rPr>
        <w:t>a)</w:t>
      </w:r>
      <w:r>
        <w:rPr>
          <w:rFonts w:hint="eastAsia" w:ascii="宋体" w:hAnsi="宋体"/>
        </w:rPr>
        <w:t xml:space="preserve"> 标题：“校准证书”</w:t>
      </w:r>
      <w:r>
        <w:rPr>
          <w:rFonts w:hint="eastAsia" w:ascii="宋体" w:hAnsi="宋体"/>
          <w:lang w:val="en-US" w:eastAsia="zh-CN"/>
        </w:rPr>
        <w:t>或“校准报告”</w:t>
      </w:r>
      <w:r>
        <w:rPr>
          <w:rFonts w:hint="eastAsia" w:ascii="宋体" w:hAnsi="宋体"/>
        </w:rPr>
        <w:t>；</w:t>
      </w:r>
    </w:p>
    <w:p w14:paraId="1728BBE6">
      <w:pPr>
        <w:rPr>
          <w:rFonts w:ascii="宋体" w:hAnsi="宋体"/>
        </w:rPr>
      </w:pPr>
      <w:r>
        <w:rPr>
          <w:rFonts w:ascii="宋体" w:hAnsi="宋体"/>
        </w:rPr>
        <w:t>b)</w:t>
      </w:r>
      <w:r>
        <w:rPr>
          <w:rFonts w:hint="eastAsia" w:ascii="宋体" w:hAnsi="宋体"/>
        </w:rPr>
        <w:t xml:space="preserve"> 实验室名称和地址；</w:t>
      </w:r>
    </w:p>
    <w:p w14:paraId="6D5F7D70">
      <w:pPr>
        <w:rPr>
          <w:rFonts w:ascii="宋体" w:hAnsi="宋体"/>
        </w:rPr>
      </w:pPr>
      <w:r>
        <w:rPr>
          <w:rFonts w:ascii="宋体" w:hAnsi="宋体"/>
        </w:rPr>
        <w:t xml:space="preserve">c) </w:t>
      </w:r>
      <w:r>
        <w:rPr>
          <w:rFonts w:hint="eastAsia" w:ascii="宋体" w:hAnsi="宋体"/>
        </w:rPr>
        <w:t>进行校准的地点（如果与实验室地址不同）；</w:t>
      </w:r>
    </w:p>
    <w:p w14:paraId="1278FA78">
      <w:pPr>
        <w:rPr>
          <w:rFonts w:ascii="宋体" w:hAnsi="宋体"/>
        </w:rPr>
      </w:pPr>
      <w:r>
        <w:rPr>
          <w:rFonts w:ascii="宋体" w:hAnsi="宋体"/>
        </w:rPr>
        <w:t xml:space="preserve">d) </w:t>
      </w:r>
      <w:r>
        <w:rPr>
          <w:rFonts w:hint="eastAsia" w:ascii="宋体" w:hAnsi="宋体"/>
        </w:rPr>
        <w:t>证书的唯一性标识（如编号），每页及总页数标识；</w:t>
      </w:r>
    </w:p>
    <w:p w14:paraId="29AA5C2F">
      <w:pPr>
        <w:rPr>
          <w:rFonts w:ascii="宋体" w:hAnsi="宋体"/>
        </w:rPr>
      </w:pPr>
      <w:r>
        <w:rPr>
          <w:rFonts w:ascii="宋体" w:hAnsi="宋体"/>
        </w:rPr>
        <w:t xml:space="preserve">e) </w:t>
      </w:r>
      <w:r>
        <w:rPr>
          <w:rFonts w:hint="eastAsia" w:ascii="宋体" w:hAnsi="宋体"/>
        </w:rPr>
        <w:t xml:space="preserve">客户的名称和地址； </w:t>
      </w:r>
    </w:p>
    <w:p w14:paraId="2738D840">
      <w:pPr>
        <w:rPr>
          <w:rFonts w:ascii="宋体" w:hAnsi="宋体"/>
        </w:rPr>
      </w:pPr>
      <w:r>
        <w:rPr>
          <w:rFonts w:ascii="宋体" w:hAnsi="宋体"/>
        </w:rPr>
        <w:t>f)</w:t>
      </w:r>
      <w:r>
        <w:rPr>
          <w:rFonts w:hint="eastAsia" w:ascii="宋体" w:hAnsi="宋体"/>
        </w:rPr>
        <w:t xml:space="preserve"> 被校对象的描述和明确标识；</w:t>
      </w:r>
    </w:p>
    <w:p w14:paraId="1CE8060A">
      <w:pPr>
        <w:rPr>
          <w:rFonts w:ascii="宋体" w:hAnsi="宋体"/>
        </w:rPr>
      </w:pPr>
      <w:r>
        <w:rPr>
          <w:rFonts w:ascii="宋体" w:hAnsi="宋体"/>
        </w:rPr>
        <w:t xml:space="preserve">g) </w:t>
      </w:r>
      <w:r>
        <w:rPr>
          <w:rFonts w:hint="eastAsia" w:ascii="宋体" w:hAnsi="宋体"/>
        </w:rPr>
        <w:t>进行校准的日期，如果与校准结果的有效性和应用有关时，应说明被校对象的接</w:t>
      </w:r>
      <w:r>
        <w:rPr>
          <w:rFonts w:hint="eastAsia" w:ascii="宋体" w:hAnsi="宋体"/>
          <w:lang w:val="en-US" w:eastAsia="zh-CN"/>
        </w:rPr>
        <w:t>收</w:t>
      </w:r>
      <w:r>
        <w:rPr>
          <w:rFonts w:hint="eastAsia" w:ascii="宋体" w:hAnsi="宋体"/>
        </w:rPr>
        <w:t>日期；</w:t>
      </w:r>
    </w:p>
    <w:p w14:paraId="15E94829">
      <w:pPr>
        <w:rPr>
          <w:rFonts w:ascii="宋体" w:hAnsi="宋体"/>
        </w:rPr>
      </w:pPr>
      <w:r>
        <w:rPr>
          <w:rFonts w:hint="eastAsia" w:ascii="宋体" w:hAnsi="宋体"/>
        </w:rPr>
        <w:t>h) 如果与校准结果的有效性应用有关时，应对被校样品的抽样程序进行说明；</w:t>
      </w:r>
    </w:p>
    <w:p w14:paraId="18202076">
      <w:pPr>
        <w:rPr>
          <w:rFonts w:ascii="宋体" w:hAnsi="宋体"/>
        </w:rPr>
      </w:pPr>
      <w:r>
        <w:rPr>
          <w:rFonts w:hint="eastAsia" w:ascii="宋体" w:hAnsi="宋体"/>
        </w:rPr>
        <w:t>i) 校准所依据的技术规范的标识，包括名称及代号；</w:t>
      </w:r>
    </w:p>
    <w:p w14:paraId="289916AE">
      <w:pPr>
        <w:rPr>
          <w:rFonts w:ascii="宋体" w:hAnsi="宋体"/>
        </w:rPr>
      </w:pPr>
      <w:r>
        <w:rPr>
          <w:rFonts w:hint="eastAsia" w:ascii="宋体" w:hAnsi="宋体"/>
        </w:rPr>
        <w:t>j) 本次校准所用测量标准的溯源性及有效性说明；</w:t>
      </w:r>
    </w:p>
    <w:p w14:paraId="5522FD7F">
      <w:pPr>
        <w:rPr>
          <w:rFonts w:ascii="宋体" w:hAnsi="宋体"/>
        </w:rPr>
      </w:pPr>
      <w:r>
        <w:rPr>
          <w:rFonts w:hint="eastAsia" w:ascii="宋体" w:hAnsi="宋体"/>
        </w:rPr>
        <w:t>k) 校准环境的描述；</w:t>
      </w:r>
    </w:p>
    <w:p w14:paraId="5C3902A6">
      <w:pPr>
        <w:rPr>
          <w:rFonts w:ascii="宋体" w:hAnsi="宋体"/>
        </w:rPr>
      </w:pPr>
      <w:r>
        <w:rPr>
          <w:rFonts w:hint="eastAsia" w:ascii="宋体" w:hAnsi="宋体"/>
        </w:rPr>
        <w:t>l) 校准结果及其测量不确定度的说明；</w:t>
      </w:r>
    </w:p>
    <w:p w14:paraId="79766625">
      <w:pPr>
        <w:rPr>
          <w:rFonts w:ascii="宋体" w:hAnsi="宋体"/>
        </w:rPr>
      </w:pPr>
      <w:r>
        <w:rPr>
          <w:rFonts w:hint="eastAsia" w:ascii="宋体" w:hAnsi="宋体"/>
        </w:rPr>
        <w:t>m) 对校准规范的偏离的说明；</w:t>
      </w:r>
    </w:p>
    <w:p w14:paraId="44DD38BB">
      <w:pPr>
        <w:rPr>
          <w:rFonts w:ascii="宋体" w:hAnsi="宋体"/>
        </w:rPr>
      </w:pPr>
      <w:r>
        <w:rPr>
          <w:rFonts w:hint="eastAsia" w:ascii="宋体" w:hAnsi="宋体"/>
        </w:rPr>
        <w:t>n）校准证书或校准报告签发人的签名、职务或等效标识；</w:t>
      </w:r>
    </w:p>
    <w:p w14:paraId="5DA6137B">
      <w:pPr>
        <w:rPr>
          <w:rFonts w:ascii="宋体" w:hAnsi="宋体"/>
        </w:rPr>
      </w:pPr>
      <w:r>
        <w:rPr>
          <w:rFonts w:hint="eastAsia" w:ascii="宋体" w:hAnsi="宋体"/>
        </w:rPr>
        <w:t>o）校准结果仅对被校对象有效的声明；</w:t>
      </w:r>
    </w:p>
    <w:p w14:paraId="76A60F63">
      <w:pPr>
        <w:rPr>
          <w:rFonts w:ascii="宋体" w:hAnsi="宋体"/>
        </w:rPr>
      </w:pPr>
      <w:r>
        <w:rPr>
          <w:rFonts w:hint="eastAsia" w:ascii="宋体" w:hAnsi="宋体"/>
        </w:rPr>
        <w:t>p）未经实验室书面批准，不得部分复制证书</w:t>
      </w:r>
      <w:r>
        <w:rPr>
          <w:rFonts w:hint="eastAsia" w:ascii="宋体" w:hAnsi="宋体"/>
          <w:lang w:val="en-US" w:eastAsia="zh-CN"/>
        </w:rPr>
        <w:t>或报告</w:t>
      </w:r>
      <w:r>
        <w:rPr>
          <w:rFonts w:hint="eastAsia" w:ascii="宋体" w:hAnsi="宋体"/>
        </w:rPr>
        <w:t>的声明。</w:t>
      </w:r>
    </w:p>
    <w:p w14:paraId="68B55320">
      <w:pPr>
        <w:bidi w:val="0"/>
        <w:rPr>
          <w:rFonts w:hint="eastAsia"/>
        </w:rPr>
      </w:pPr>
    </w:p>
    <w:p w14:paraId="7D655BBD">
      <w:pPr>
        <w:pStyle w:val="15"/>
      </w:pPr>
      <w:bookmarkStart w:id="88" w:name="_Toc32414"/>
      <w:bookmarkStart w:id="89" w:name="_Toc28371"/>
      <w:bookmarkStart w:id="90" w:name="_Toc6530"/>
      <w:bookmarkStart w:id="91" w:name="_Toc301161833"/>
      <w:bookmarkStart w:id="92" w:name="_Toc5386"/>
      <w:bookmarkStart w:id="93" w:name="_Toc519778271"/>
      <w:bookmarkStart w:id="94" w:name="_Toc19702"/>
      <w:bookmarkStart w:id="95" w:name="_Toc3048"/>
      <w:bookmarkStart w:id="96" w:name="_Toc7219"/>
      <w:r>
        <w:rPr>
          <w:rFonts w:hint="eastAsia"/>
          <w:lang w:val="en-US" w:eastAsia="zh-CN"/>
        </w:rPr>
        <w:t>9</w:t>
      </w:r>
      <w:r>
        <w:t xml:space="preserve">  复校时间间隔</w:t>
      </w:r>
      <w:bookmarkEnd w:id="88"/>
      <w:bookmarkEnd w:id="89"/>
      <w:bookmarkEnd w:id="90"/>
      <w:bookmarkEnd w:id="91"/>
      <w:bookmarkEnd w:id="92"/>
      <w:bookmarkEnd w:id="93"/>
      <w:bookmarkEnd w:id="94"/>
      <w:bookmarkEnd w:id="95"/>
      <w:bookmarkEnd w:id="96"/>
    </w:p>
    <w:p w14:paraId="17C929D4">
      <w:pPr>
        <w:rPr>
          <w:rFonts w:ascii="宋体" w:hAnsi="宋体"/>
        </w:rPr>
      </w:pPr>
      <w:r>
        <w:rPr>
          <w:rFonts w:hint="eastAsia" w:ascii="宋体" w:hAnsi="宋体"/>
        </w:rPr>
        <w:tab/>
      </w:r>
      <w:r>
        <w:rPr>
          <w:rFonts w:hint="eastAsia"/>
        </w:rPr>
        <w:t>Mini显示屏</w:t>
      </w:r>
      <w:r>
        <w:rPr>
          <w:rFonts w:hint="eastAsia" w:ascii="宋体" w:hAnsi="宋体"/>
        </w:rPr>
        <w:t>的复校时间建议为1年。使用特别频繁时应适当缩短，如果发现测量结果异常时，应随时进行校准。使用者可根据实际使用情况自主决定复校时间间隔。</w:t>
      </w:r>
    </w:p>
    <w:p w14:paraId="5369D3C6">
      <w:pPr>
        <w:adjustRightInd w:val="0"/>
        <w:snapToGrid w:val="0"/>
        <w:jc w:val="both"/>
      </w:pPr>
    </w:p>
    <w:p w14:paraId="4E108DC2">
      <w:r>
        <w:br w:type="page"/>
      </w:r>
    </w:p>
    <w:p w14:paraId="6892665D">
      <w:pPr>
        <w:pStyle w:val="15"/>
        <w:bidi w:val="0"/>
        <w:rPr>
          <w:rFonts w:hint="eastAsia"/>
          <w:lang w:val="en-US" w:eastAsia="zh-CN"/>
        </w:rPr>
      </w:pPr>
      <w:bookmarkStart w:id="97" w:name="_Toc3867"/>
      <w:r>
        <w:rPr>
          <w:rFonts w:hint="eastAsia"/>
        </w:rPr>
        <w:t>附录A</w:t>
      </w:r>
      <w:r>
        <w:rPr>
          <w:rFonts w:hint="eastAsia"/>
          <w:lang w:val="en-US" w:eastAsia="zh-CN"/>
        </w:rPr>
        <w:t xml:space="preserve"> </w:t>
      </w:r>
      <w:r>
        <w:rPr>
          <w:rFonts w:hint="eastAsia"/>
        </w:rPr>
        <w:t>校准证书内页</w:t>
      </w:r>
      <w:r>
        <w:rPr>
          <w:rFonts w:hint="eastAsia"/>
          <w:lang w:val="en-US" w:eastAsia="zh-CN"/>
        </w:rPr>
        <w:t>参考格式</w:t>
      </w:r>
      <w:bookmarkEnd w:id="97"/>
    </w:p>
    <w:p w14:paraId="15952772">
      <w:pPr>
        <w:adjustRightInd w:val="0"/>
        <w:snapToGrid w:val="0"/>
        <w:jc w:val="center"/>
        <w:rPr>
          <w:rFonts w:hint="eastAsia"/>
          <w:lang w:val="en-US" w:eastAsia="zh-CN"/>
        </w:rPr>
      </w:pPr>
      <w:r>
        <w:rPr>
          <w:rFonts w:hint="eastAsia"/>
          <w:lang w:val="en-US" w:eastAsia="zh-CN"/>
        </w:rPr>
        <w:t>Mini显示屏空间光色特性校准规范</w:t>
      </w:r>
      <w:r>
        <w:rPr>
          <w:rFonts w:hint="eastAsia"/>
        </w:rPr>
        <w:t>内页参考格式</w:t>
      </w:r>
    </w:p>
    <w:p w14:paraId="4EAD4D55">
      <w:pPr>
        <w:adjustRightInd w:val="0"/>
        <w:snapToGrid w:val="0"/>
        <w:jc w:val="both"/>
        <w:rPr>
          <w:rFonts w:hint="eastAsia"/>
          <w:lang w:val="en-US" w:eastAsia="zh-CN"/>
        </w:rPr>
      </w:pPr>
    </w:p>
    <w:p w14:paraId="3DA1A9CC">
      <w:pPr>
        <w:spacing w:line="300" w:lineRule="exact"/>
        <w:rPr>
          <w:rFonts w:ascii="宋体" w:hAnsi="宋体"/>
        </w:rPr>
      </w:pPr>
      <w:r>
        <w:rPr>
          <w:rFonts w:hint="eastAsia" w:ascii="宋体" w:hAnsi="宋体"/>
          <w:spacing w:val="20"/>
        </w:rPr>
        <w:t>证书编号</w:t>
      </w:r>
      <w:r>
        <w:rPr>
          <w:rFonts w:hint="eastAsia" w:ascii="宋体" w:hAnsi="宋体"/>
        </w:rPr>
        <w:t>：</w:t>
      </w:r>
    </w:p>
    <w:p w14:paraId="1161DF65">
      <w:pPr>
        <w:rPr>
          <w:rFonts w:hint="default" w:ascii="宋体" w:hAnsi="宋体" w:eastAsiaTheme="minorEastAsia"/>
          <w:lang w:val="en-US" w:eastAsia="zh-CN"/>
        </w:rPr>
      </w:pPr>
    </w:p>
    <w:p w14:paraId="73F12E3F">
      <w:pPr>
        <w:rPr>
          <w:rFonts w:hint="default" w:ascii="宋体" w:hAnsi="宋体" w:eastAsiaTheme="minorEastAsia"/>
          <w:lang w:val="en-US" w:eastAsia="zh-CN"/>
        </w:rPr>
      </w:pPr>
      <w:r>
        <w:rPr>
          <w:rFonts w:hint="eastAsia" w:ascii="宋体" w:hAnsi="宋体"/>
          <w:lang w:val="en-US" w:eastAsia="zh-CN"/>
        </w:rPr>
        <w:t>表1.校准结果</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5"/>
        <w:gridCol w:w="1065"/>
      </w:tblGrid>
      <w:tr w14:paraId="40A76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13FC2DE8">
            <w:pPr>
              <w:adjustRightInd w:val="0"/>
              <w:snapToGrid w:val="0"/>
              <w:jc w:val="both"/>
              <w:rPr>
                <w:rFonts w:hint="default"/>
                <w:vertAlign w:val="baseline"/>
                <w:lang w:val="en-US" w:eastAsia="zh-CN"/>
              </w:rPr>
            </w:pPr>
            <w:r>
              <w:rPr>
                <w:rFonts w:hint="eastAsia"/>
                <w:vertAlign w:val="baseline"/>
                <w:lang w:val="en-US" w:eastAsia="zh-CN"/>
              </w:rPr>
              <w:t>区域编号</w:t>
            </w:r>
          </w:p>
        </w:tc>
        <w:tc>
          <w:tcPr>
            <w:tcW w:w="1065" w:type="dxa"/>
          </w:tcPr>
          <w:p w14:paraId="6AD8B8DA">
            <w:pPr>
              <w:adjustRightInd w:val="0"/>
              <w:snapToGrid w:val="0"/>
              <w:jc w:val="both"/>
              <w:rPr>
                <w:rFonts w:hint="default"/>
                <w:vertAlign w:val="baseline"/>
                <w:lang w:val="en-US" w:eastAsia="zh-CN"/>
              </w:rPr>
            </w:pPr>
            <w:r>
              <w:rPr>
                <w:rFonts w:hint="eastAsia"/>
                <w:vertAlign w:val="baseline"/>
                <w:lang w:val="en-US" w:eastAsia="zh-CN"/>
              </w:rPr>
              <w:t>空间角</w:t>
            </w:r>
            <m:oMath>
              <m:r>
                <m:rPr/>
                <w:rPr>
                  <w:rFonts w:ascii="Cambria Math" w:hAnsi="Cambria Math"/>
                  <w:sz w:val="24"/>
                  <w:szCs w:val="24"/>
                  <w:lang w:val="en-US"/>
                </w:rPr>
                <m:t>θ</m:t>
              </m:r>
            </m:oMath>
          </w:p>
        </w:tc>
        <w:tc>
          <w:tcPr>
            <w:tcW w:w="1065" w:type="dxa"/>
          </w:tcPr>
          <w:p w14:paraId="18C960F6">
            <w:pPr>
              <w:adjustRightInd w:val="0"/>
              <w:snapToGrid w:val="0"/>
              <w:jc w:val="both"/>
              <w:rPr>
                <w:rFonts w:hint="eastAsia"/>
                <w:vertAlign w:val="baseline"/>
                <w:lang w:val="en-US" w:eastAsia="zh-CN"/>
              </w:rPr>
            </w:pPr>
            <w:r>
              <w:rPr>
                <w:rFonts w:hint="eastAsia"/>
                <w:vertAlign w:val="baseline"/>
                <w:lang w:val="en-US" w:eastAsia="zh-CN"/>
              </w:rPr>
              <w:t>空间角</w:t>
            </w:r>
            <m:oMath>
              <m:r>
                <m:rPr/>
                <w:rPr>
                  <w:rFonts w:ascii="Cambria Math" w:hAnsi="Cambria Math"/>
                  <w:sz w:val="24"/>
                  <w:szCs w:val="24"/>
                  <w:lang w:val="en-US"/>
                </w:rPr>
                <m:t>φ</m:t>
              </m:r>
            </m:oMath>
          </w:p>
        </w:tc>
        <w:tc>
          <w:tcPr>
            <w:tcW w:w="1065" w:type="dxa"/>
          </w:tcPr>
          <w:p w14:paraId="17A11FB7">
            <w:pPr>
              <w:adjustRightInd w:val="0"/>
              <w:snapToGrid w:val="0"/>
              <w:jc w:val="both"/>
              <w:rPr>
                <w:rFonts w:hint="eastAsia"/>
                <w:vertAlign w:val="baseline"/>
                <w:lang w:val="en-US" w:eastAsia="zh-CN"/>
              </w:rPr>
            </w:pPr>
            <w:r>
              <w:rPr>
                <w:rFonts w:hint="eastAsia"/>
                <w:vertAlign w:val="baseline"/>
                <w:lang w:val="en-US" w:eastAsia="zh-CN"/>
              </w:rPr>
              <w:t>亮度</w:t>
            </w:r>
          </w:p>
        </w:tc>
        <w:tc>
          <w:tcPr>
            <w:tcW w:w="1065" w:type="dxa"/>
          </w:tcPr>
          <w:p w14:paraId="2A4AC717">
            <w:pPr>
              <w:adjustRightInd w:val="0"/>
              <w:snapToGrid w:val="0"/>
              <w:jc w:val="both"/>
              <w:rPr>
                <w:rFonts w:hint="default"/>
                <w:vertAlign w:val="baseline"/>
                <w:lang w:val="en-US" w:eastAsia="zh-CN"/>
              </w:rPr>
            </w:pPr>
            <w:r>
              <w:rPr>
                <w:rFonts w:hint="eastAsia"/>
                <w:vertAlign w:val="baseline"/>
                <w:lang w:val="en-US" w:eastAsia="zh-CN"/>
              </w:rPr>
              <w:t>色品坐标x</w:t>
            </w:r>
          </w:p>
        </w:tc>
        <w:tc>
          <w:tcPr>
            <w:tcW w:w="1065" w:type="dxa"/>
          </w:tcPr>
          <w:p w14:paraId="4EC68C00">
            <w:pPr>
              <w:adjustRightInd w:val="0"/>
              <w:snapToGrid w:val="0"/>
              <w:jc w:val="both"/>
              <w:rPr>
                <w:rFonts w:hint="default"/>
                <w:vertAlign w:val="baseline"/>
                <w:lang w:val="en-US" w:eastAsia="zh-CN"/>
              </w:rPr>
            </w:pPr>
            <w:r>
              <w:rPr>
                <w:rFonts w:hint="eastAsia"/>
                <w:vertAlign w:val="baseline"/>
                <w:lang w:val="en-US" w:eastAsia="zh-CN"/>
              </w:rPr>
              <w:t>色品坐标y</w:t>
            </w:r>
          </w:p>
        </w:tc>
        <w:tc>
          <w:tcPr>
            <w:tcW w:w="1065" w:type="dxa"/>
          </w:tcPr>
          <w:p w14:paraId="0AD7227C">
            <w:pPr>
              <w:adjustRightInd w:val="0"/>
              <w:snapToGrid w:val="0"/>
              <w:jc w:val="both"/>
              <w:rPr>
                <w:rFonts w:hint="default"/>
                <w:vertAlign w:val="baseline"/>
                <w:lang w:val="en-US" w:eastAsia="zh-CN"/>
              </w:rPr>
            </w:pPr>
            <w:r>
              <w:rPr>
                <w:rFonts w:hint="eastAsia"/>
                <w:vertAlign w:val="baseline"/>
                <w:lang w:val="en-US" w:eastAsia="zh-CN"/>
              </w:rPr>
              <w:t>色品坐标u</w:t>
            </w:r>
            <w:r>
              <w:rPr>
                <w:rFonts w:hint="default"/>
                <w:vertAlign w:val="baseline"/>
                <w:lang w:val="en-US" w:eastAsia="zh-CN"/>
              </w:rPr>
              <w:t>’</w:t>
            </w:r>
          </w:p>
        </w:tc>
        <w:tc>
          <w:tcPr>
            <w:tcW w:w="1065" w:type="dxa"/>
            <w:vAlign w:val="top"/>
          </w:tcPr>
          <w:p w14:paraId="002F76D6">
            <w:pPr>
              <w:adjustRightInd w:val="0"/>
              <w:snapToGrid w:val="0"/>
              <w:jc w:val="both"/>
              <w:rPr>
                <w:rFonts w:hint="eastAsia" w:ascii="Times New Roman" w:hAnsi="Times New Roman" w:cs="Times New Roman" w:eastAsiaTheme="minorEastAsia"/>
                <w:kern w:val="2"/>
                <w:sz w:val="24"/>
                <w:szCs w:val="24"/>
                <w:vertAlign w:val="baseline"/>
                <w:lang w:val="en-US" w:eastAsia="zh-CN" w:bidi="ar-SA"/>
              </w:rPr>
            </w:pPr>
            <w:r>
              <w:rPr>
                <w:rFonts w:hint="eastAsia"/>
                <w:vertAlign w:val="baseline"/>
                <w:lang w:val="en-US" w:eastAsia="zh-CN"/>
              </w:rPr>
              <w:t>色品坐标v</w:t>
            </w:r>
            <w:r>
              <w:rPr>
                <w:rFonts w:hint="default"/>
                <w:vertAlign w:val="baseline"/>
                <w:lang w:val="en-US" w:eastAsia="zh-CN"/>
              </w:rPr>
              <w:t>’</w:t>
            </w:r>
          </w:p>
        </w:tc>
      </w:tr>
      <w:tr w14:paraId="1DA7D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2EEC1EA3">
            <w:pPr>
              <w:adjustRightInd w:val="0"/>
              <w:snapToGrid w:val="0"/>
              <w:jc w:val="both"/>
              <w:rPr>
                <w:rFonts w:hint="eastAsia"/>
                <w:vertAlign w:val="baseline"/>
                <w:lang w:val="en-US" w:eastAsia="zh-CN"/>
              </w:rPr>
            </w:pPr>
          </w:p>
        </w:tc>
        <w:tc>
          <w:tcPr>
            <w:tcW w:w="1065" w:type="dxa"/>
          </w:tcPr>
          <w:p w14:paraId="613558C5">
            <w:pPr>
              <w:adjustRightInd w:val="0"/>
              <w:snapToGrid w:val="0"/>
              <w:jc w:val="both"/>
              <w:rPr>
                <w:rFonts w:hint="eastAsia"/>
                <w:vertAlign w:val="baseline"/>
                <w:lang w:val="en-US" w:eastAsia="zh-CN"/>
              </w:rPr>
            </w:pPr>
          </w:p>
        </w:tc>
        <w:tc>
          <w:tcPr>
            <w:tcW w:w="1065" w:type="dxa"/>
          </w:tcPr>
          <w:p w14:paraId="09DF66FC">
            <w:pPr>
              <w:adjustRightInd w:val="0"/>
              <w:snapToGrid w:val="0"/>
              <w:jc w:val="both"/>
              <w:rPr>
                <w:rFonts w:hint="eastAsia"/>
                <w:vertAlign w:val="baseline"/>
                <w:lang w:val="en-US" w:eastAsia="zh-CN"/>
              </w:rPr>
            </w:pPr>
          </w:p>
        </w:tc>
        <w:tc>
          <w:tcPr>
            <w:tcW w:w="1065" w:type="dxa"/>
          </w:tcPr>
          <w:p w14:paraId="37FA6BF8">
            <w:pPr>
              <w:adjustRightInd w:val="0"/>
              <w:snapToGrid w:val="0"/>
              <w:jc w:val="both"/>
              <w:rPr>
                <w:rFonts w:hint="eastAsia"/>
                <w:vertAlign w:val="baseline"/>
                <w:lang w:val="en-US" w:eastAsia="zh-CN"/>
              </w:rPr>
            </w:pPr>
          </w:p>
        </w:tc>
        <w:tc>
          <w:tcPr>
            <w:tcW w:w="1065" w:type="dxa"/>
          </w:tcPr>
          <w:p w14:paraId="741A7D15">
            <w:pPr>
              <w:adjustRightInd w:val="0"/>
              <w:snapToGrid w:val="0"/>
              <w:jc w:val="both"/>
              <w:rPr>
                <w:rFonts w:hint="eastAsia"/>
                <w:vertAlign w:val="baseline"/>
                <w:lang w:val="en-US" w:eastAsia="zh-CN"/>
              </w:rPr>
            </w:pPr>
          </w:p>
        </w:tc>
        <w:tc>
          <w:tcPr>
            <w:tcW w:w="1065" w:type="dxa"/>
          </w:tcPr>
          <w:p w14:paraId="7DD0161B">
            <w:pPr>
              <w:adjustRightInd w:val="0"/>
              <w:snapToGrid w:val="0"/>
              <w:jc w:val="both"/>
              <w:rPr>
                <w:rFonts w:hint="eastAsia"/>
                <w:vertAlign w:val="baseline"/>
                <w:lang w:val="en-US" w:eastAsia="zh-CN"/>
              </w:rPr>
            </w:pPr>
          </w:p>
        </w:tc>
        <w:tc>
          <w:tcPr>
            <w:tcW w:w="1065" w:type="dxa"/>
          </w:tcPr>
          <w:p w14:paraId="7CE08D23">
            <w:pPr>
              <w:adjustRightInd w:val="0"/>
              <w:snapToGrid w:val="0"/>
              <w:jc w:val="both"/>
              <w:rPr>
                <w:rFonts w:hint="eastAsia"/>
                <w:vertAlign w:val="baseline"/>
                <w:lang w:val="en-US" w:eastAsia="zh-CN"/>
              </w:rPr>
            </w:pPr>
          </w:p>
        </w:tc>
        <w:tc>
          <w:tcPr>
            <w:tcW w:w="1065" w:type="dxa"/>
          </w:tcPr>
          <w:p w14:paraId="7F25CCC7">
            <w:pPr>
              <w:adjustRightInd w:val="0"/>
              <w:snapToGrid w:val="0"/>
              <w:jc w:val="both"/>
              <w:rPr>
                <w:rFonts w:hint="eastAsia"/>
                <w:vertAlign w:val="baseline"/>
                <w:lang w:val="en-US" w:eastAsia="zh-CN"/>
              </w:rPr>
            </w:pPr>
          </w:p>
        </w:tc>
      </w:tr>
      <w:tr w14:paraId="2B030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54211EDE">
            <w:pPr>
              <w:adjustRightInd w:val="0"/>
              <w:snapToGrid w:val="0"/>
              <w:jc w:val="both"/>
              <w:rPr>
                <w:rFonts w:hint="eastAsia"/>
                <w:vertAlign w:val="baseline"/>
                <w:lang w:val="en-US" w:eastAsia="zh-CN"/>
              </w:rPr>
            </w:pPr>
          </w:p>
        </w:tc>
        <w:tc>
          <w:tcPr>
            <w:tcW w:w="1065" w:type="dxa"/>
          </w:tcPr>
          <w:p w14:paraId="43E853BF">
            <w:pPr>
              <w:adjustRightInd w:val="0"/>
              <w:snapToGrid w:val="0"/>
              <w:jc w:val="both"/>
              <w:rPr>
                <w:rFonts w:hint="eastAsia"/>
                <w:vertAlign w:val="baseline"/>
                <w:lang w:val="en-US" w:eastAsia="zh-CN"/>
              </w:rPr>
            </w:pPr>
          </w:p>
        </w:tc>
        <w:tc>
          <w:tcPr>
            <w:tcW w:w="1065" w:type="dxa"/>
          </w:tcPr>
          <w:p w14:paraId="2CB10A06">
            <w:pPr>
              <w:adjustRightInd w:val="0"/>
              <w:snapToGrid w:val="0"/>
              <w:jc w:val="both"/>
              <w:rPr>
                <w:rFonts w:hint="eastAsia"/>
                <w:vertAlign w:val="baseline"/>
                <w:lang w:val="en-US" w:eastAsia="zh-CN"/>
              </w:rPr>
            </w:pPr>
          </w:p>
        </w:tc>
        <w:tc>
          <w:tcPr>
            <w:tcW w:w="1065" w:type="dxa"/>
          </w:tcPr>
          <w:p w14:paraId="3E5F1B1D">
            <w:pPr>
              <w:adjustRightInd w:val="0"/>
              <w:snapToGrid w:val="0"/>
              <w:jc w:val="both"/>
              <w:rPr>
                <w:rFonts w:hint="eastAsia"/>
                <w:vertAlign w:val="baseline"/>
                <w:lang w:val="en-US" w:eastAsia="zh-CN"/>
              </w:rPr>
            </w:pPr>
          </w:p>
        </w:tc>
        <w:tc>
          <w:tcPr>
            <w:tcW w:w="1065" w:type="dxa"/>
          </w:tcPr>
          <w:p w14:paraId="4B7725F5">
            <w:pPr>
              <w:adjustRightInd w:val="0"/>
              <w:snapToGrid w:val="0"/>
              <w:jc w:val="both"/>
              <w:rPr>
                <w:rFonts w:hint="eastAsia"/>
                <w:vertAlign w:val="baseline"/>
                <w:lang w:val="en-US" w:eastAsia="zh-CN"/>
              </w:rPr>
            </w:pPr>
          </w:p>
        </w:tc>
        <w:tc>
          <w:tcPr>
            <w:tcW w:w="1065" w:type="dxa"/>
          </w:tcPr>
          <w:p w14:paraId="5597D72F">
            <w:pPr>
              <w:adjustRightInd w:val="0"/>
              <w:snapToGrid w:val="0"/>
              <w:jc w:val="both"/>
              <w:rPr>
                <w:rFonts w:hint="eastAsia"/>
                <w:vertAlign w:val="baseline"/>
                <w:lang w:val="en-US" w:eastAsia="zh-CN"/>
              </w:rPr>
            </w:pPr>
          </w:p>
        </w:tc>
        <w:tc>
          <w:tcPr>
            <w:tcW w:w="1065" w:type="dxa"/>
          </w:tcPr>
          <w:p w14:paraId="471E6D95">
            <w:pPr>
              <w:adjustRightInd w:val="0"/>
              <w:snapToGrid w:val="0"/>
              <w:jc w:val="both"/>
              <w:rPr>
                <w:rFonts w:hint="eastAsia"/>
                <w:vertAlign w:val="baseline"/>
                <w:lang w:val="en-US" w:eastAsia="zh-CN"/>
              </w:rPr>
            </w:pPr>
          </w:p>
        </w:tc>
        <w:tc>
          <w:tcPr>
            <w:tcW w:w="1065" w:type="dxa"/>
          </w:tcPr>
          <w:p w14:paraId="7A6D9033">
            <w:pPr>
              <w:adjustRightInd w:val="0"/>
              <w:snapToGrid w:val="0"/>
              <w:jc w:val="both"/>
              <w:rPr>
                <w:rFonts w:hint="eastAsia"/>
                <w:vertAlign w:val="baseline"/>
                <w:lang w:val="en-US" w:eastAsia="zh-CN"/>
              </w:rPr>
            </w:pPr>
          </w:p>
        </w:tc>
      </w:tr>
      <w:tr w14:paraId="20B8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5FBA4439">
            <w:pPr>
              <w:adjustRightInd w:val="0"/>
              <w:snapToGrid w:val="0"/>
              <w:jc w:val="both"/>
              <w:rPr>
                <w:rFonts w:hint="eastAsia"/>
                <w:vertAlign w:val="baseline"/>
                <w:lang w:val="en-US" w:eastAsia="zh-CN"/>
              </w:rPr>
            </w:pPr>
          </w:p>
        </w:tc>
        <w:tc>
          <w:tcPr>
            <w:tcW w:w="1065" w:type="dxa"/>
          </w:tcPr>
          <w:p w14:paraId="43070B10">
            <w:pPr>
              <w:adjustRightInd w:val="0"/>
              <w:snapToGrid w:val="0"/>
              <w:jc w:val="both"/>
              <w:rPr>
                <w:rFonts w:hint="eastAsia"/>
                <w:vertAlign w:val="baseline"/>
                <w:lang w:val="en-US" w:eastAsia="zh-CN"/>
              </w:rPr>
            </w:pPr>
          </w:p>
        </w:tc>
        <w:tc>
          <w:tcPr>
            <w:tcW w:w="1065" w:type="dxa"/>
          </w:tcPr>
          <w:p w14:paraId="650B9893">
            <w:pPr>
              <w:adjustRightInd w:val="0"/>
              <w:snapToGrid w:val="0"/>
              <w:jc w:val="both"/>
              <w:rPr>
                <w:rFonts w:hint="eastAsia"/>
                <w:vertAlign w:val="baseline"/>
                <w:lang w:val="en-US" w:eastAsia="zh-CN"/>
              </w:rPr>
            </w:pPr>
          </w:p>
        </w:tc>
        <w:tc>
          <w:tcPr>
            <w:tcW w:w="1065" w:type="dxa"/>
          </w:tcPr>
          <w:p w14:paraId="640DA1A3">
            <w:pPr>
              <w:adjustRightInd w:val="0"/>
              <w:snapToGrid w:val="0"/>
              <w:jc w:val="both"/>
              <w:rPr>
                <w:rFonts w:hint="eastAsia"/>
                <w:vertAlign w:val="baseline"/>
                <w:lang w:val="en-US" w:eastAsia="zh-CN"/>
              </w:rPr>
            </w:pPr>
          </w:p>
        </w:tc>
        <w:tc>
          <w:tcPr>
            <w:tcW w:w="1065" w:type="dxa"/>
          </w:tcPr>
          <w:p w14:paraId="1F208C4D">
            <w:pPr>
              <w:adjustRightInd w:val="0"/>
              <w:snapToGrid w:val="0"/>
              <w:jc w:val="both"/>
              <w:rPr>
                <w:rFonts w:hint="eastAsia"/>
                <w:vertAlign w:val="baseline"/>
                <w:lang w:val="en-US" w:eastAsia="zh-CN"/>
              </w:rPr>
            </w:pPr>
          </w:p>
        </w:tc>
        <w:tc>
          <w:tcPr>
            <w:tcW w:w="1065" w:type="dxa"/>
          </w:tcPr>
          <w:p w14:paraId="268C44E8">
            <w:pPr>
              <w:adjustRightInd w:val="0"/>
              <w:snapToGrid w:val="0"/>
              <w:jc w:val="both"/>
              <w:rPr>
                <w:rFonts w:hint="eastAsia"/>
                <w:vertAlign w:val="baseline"/>
                <w:lang w:val="en-US" w:eastAsia="zh-CN"/>
              </w:rPr>
            </w:pPr>
          </w:p>
        </w:tc>
        <w:tc>
          <w:tcPr>
            <w:tcW w:w="1065" w:type="dxa"/>
          </w:tcPr>
          <w:p w14:paraId="145C48F1">
            <w:pPr>
              <w:adjustRightInd w:val="0"/>
              <w:snapToGrid w:val="0"/>
              <w:jc w:val="both"/>
              <w:rPr>
                <w:rFonts w:hint="eastAsia"/>
                <w:vertAlign w:val="baseline"/>
                <w:lang w:val="en-US" w:eastAsia="zh-CN"/>
              </w:rPr>
            </w:pPr>
          </w:p>
        </w:tc>
        <w:tc>
          <w:tcPr>
            <w:tcW w:w="1065" w:type="dxa"/>
          </w:tcPr>
          <w:p w14:paraId="2B11C9BF">
            <w:pPr>
              <w:adjustRightInd w:val="0"/>
              <w:snapToGrid w:val="0"/>
              <w:jc w:val="both"/>
              <w:rPr>
                <w:rFonts w:hint="eastAsia"/>
                <w:vertAlign w:val="baseline"/>
                <w:lang w:val="en-US" w:eastAsia="zh-CN"/>
              </w:rPr>
            </w:pPr>
          </w:p>
        </w:tc>
      </w:tr>
      <w:tr w14:paraId="5AA93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6F6EF523">
            <w:pPr>
              <w:adjustRightInd w:val="0"/>
              <w:snapToGrid w:val="0"/>
              <w:jc w:val="both"/>
              <w:rPr>
                <w:rFonts w:hint="eastAsia"/>
                <w:vertAlign w:val="baseline"/>
                <w:lang w:val="en-US" w:eastAsia="zh-CN"/>
              </w:rPr>
            </w:pPr>
          </w:p>
        </w:tc>
        <w:tc>
          <w:tcPr>
            <w:tcW w:w="1065" w:type="dxa"/>
          </w:tcPr>
          <w:p w14:paraId="33D6E704">
            <w:pPr>
              <w:adjustRightInd w:val="0"/>
              <w:snapToGrid w:val="0"/>
              <w:jc w:val="both"/>
              <w:rPr>
                <w:rFonts w:hint="eastAsia"/>
                <w:vertAlign w:val="baseline"/>
                <w:lang w:val="en-US" w:eastAsia="zh-CN"/>
              </w:rPr>
            </w:pPr>
          </w:p>
        </w:tc>
        <w:tc>
          <w:tcPr>
            <w:tcW w:w="1065" w:type="dxa"/>
          </w:tcPr>
          <w:p w14:paraId="01F7E71D">
            <w:pPr>
              <w:adjustRightInd w:val="0"/>
              <w:snapToGrid w:val="0"/>
              <w:jc w:val="both"/>
              <w:rPr>
                <w:rFonts w:hint="eastAsia"/>
                <w:vertAlign w:val="baseline"/>
                <w:lang w:val="en-US" w:eastAsia="zh-CN"/>
              </w:rPr>
            </w:pPr>
          </w:p>
        </w:tc>
        <w:tc>
          <w:tcPr>
            <w:tcW w:w="1065" w:type="dxa"/>
          </w:tcPr>
          <w:p w14:paraId="701FF247">
            <w:pPr>
              <w:adjustRightInd w:val="0"/>
              <w:snapToGrid w:val="0"/>
              <w:jc w:val="both"/>
              <w:rPr>
                <w:rFonts w:hint="eastAsia"/>
                <w:vertAlign w:val="baseline"/>
                <w:lang w:val="en-US" w:eastAsia="zh-CN"/>
              </w:rPr>
            </w:pPr>
          </w:p>
        </w:tc>
        <w:tc>
          <w:tcPr>
            <w:tcW w:w="1065" w:type="dxa"/>
          </w:tcPr>
          <w:p w14:paraId="08EDE859">
            <w:pPr>
              <w:adjustRightInd w:val="0"/>
              <w:snapToGrid w:val="0"/>
              <w:jc w:val="both"/>
              <w:rPr>
                <w:rFonts w:hint="eastAsia"/>
                <w:vertAlign w:val="baseline"/>
                <w:lang w:val="en-US" w:eastAsia="zh-CN"/>
              </w:rPr>
            </w:pPr>
          </w:p>
        </w:tc>
        <w:tc>
          <w:tcPr>
            <w:tcW w:w="1065" w:type="dxa"/>
          </w:tcPr>
          <w:p w14:paraId="3C1CC5E8">
            <w:pPr>
              <w:adjustRightInd w:val="0"/>
              <w:snapToGrid w:val="0"/>
              <w:jc w:val="both"/>
              <w:rPr>
                <w:rFonts w:hint="eastAsia"/>
                <w:vertAlign w:val="baseline"/>
                <w:lang w:val="en-US" w:eastAsia="zh-CN"/>
              </w:rPr>
            </w:pPr>
          </w:p>
        </w:tc>
        <w:tc>
          <w:tcPr>
            <w:tcW w:w="1065" w:type="dxa"/>
          </w:tcPr>
          <w:p w14:paraId="75A0BD07">
            <w:pPr>
              <w:adjustRightInd w:val="0"/>
              <w:snapToGrid w:val="0"/>
              <w:jc w:val="both"/>
              <w:rPr>
                <w:rFonts w:hint="eastAsia"/>
                <w:vertAlign w:val="baseline"/>
                <w:lang w:val="en-US" w:eastAsia="zh-CN"/>
              </w:rPr>
            </w:pPr>
          </w:p>
        </w:tc>
        <w:tc>
          <w:tcPr>
            <w:tcW w:w="1065" w:type="dxa"/>
          </w:tcPr>
          <w:p w14:paraId="22AB5751">
            <w:pPr>
              <w:adjustRightInd w:val="0"/>
              <w:snapToGrid w:val="0"/>
              <w:jc w:val="both"/>
              <w:rPr>
                <w:rFonts w:hint="eastAsia"/>
                <w:vertAlign w:val="baseline"/>
                <w:lang w:val="en-US" w:eastAsia="zh-CN"/>
              </w:rPr>
            </w:pPr>
          </w:p>
        </w:tc>
      </w:tr>
      <w:tr w14:paraId="1864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1EEE2A04">
            <w:pPr>
              <w:adjustRightInd w:val="0"/>
              <w:snapToGrid w:val="0"/>
              <w:jc w:val="both"/>
              <w:rPr>
                <w:rFonts w:hint="eastAsia"/>
                <w:vertAlign w:val="baseline"/>
                <w:lang w:val="en-US" w:eastAsia="zh-CN"/>
              </w:rPr>
            </w:pPr>
          </w:p>
        </w:tc>
        <w:tc>
          <w:tcPr>
            <w:tcW w:w="1065" w:type="dxa"/>
          </w:tcPr>
          <w:p w14:paraId="30375CFF">
            <w:pPr>
              <w:adjustRightInd w:val="0"/>
              <w:snapToGrid w:val="0"/>
              <w:jc w:val="both"/>
              <w:rPr>
                <w:rFonts w:hint="eastAsia"/>
                <w:vertAlign w:val="baseline"/>
                <w:lang w:val="en-US" w:eastAsia="zh-CN"/>
              </w:rPr>
            </w:pPr>
          </w:p>
        </w:tc>
        <w:tc>
          <w:tcPr>
            <w:tcW w:w="1065" w:type="dxa"/>
          </w:tcPr>
          <w:p w14:paraId="301D6BBA">
            <w:pPr>
              <w:adjustRightInd w:val="0"/>
              <w:snapToGrid w:val="0"/>
              <w:jc w:val="both"/>
              <w:rPr>
                <w:rFonts w:hint="eastAsia"/>
                <w:vertAlign w:val="baseline"/>
                <w:lang w:val="en-US" w:eastAsia="zh-CN"/>
              </w:rPr>
            </w:pPr>
          </w:p>
        </w:tc>
        <w:tc>
          <w:tcPr>
            <w:tcW w:w="1065" w:type="dxa"/>
          </w:tcPr>
          <w:p w14:paraId="44D1B7F4">
            <w:pPr>
              <w:adjustRightInd w:val="0"/>
              <w:snapToGrid w:val="0"/>
              <w:jc w:val="both"/>
              <w:rPr>
                <w:rFonts w:hint="eastAsia"/>
                <w:vertAlign w:val="baseline"/>
                <w:lang w:val="en-US" w:eastAsia="zh-CN"/>
              </w:rPr>
            </w:pPr>
          </w:p>
        </w:tc>
        <w:tc>
          <w:tcPr>
            <w:tcW w:w="1065" w:type="dxa"/>
          </w:tcPr>
          <w:p w14:paraId="6D0A5E12">
            <w:pPr>
              <w:adjustRightInd w:val="0"/>
              <w:snapToGrid w:val="0"/>
              <w:jc w:val="both"/>
              <w:rPr>
                <w:rFonts w:hint="eastAsia"/>
                <w:vertAlign w:val="baseline"/>
                <w:lang w:val="en-US" w:eastAsia="zh-CN"/>
              </w:rPr>
            </w:pPr>
          </w:p>
        </w:tc>
        <w:tc>
          <w:tcPr>
            <w:tcW w:w="1065" w:type="dxa"/>
          </w:tcPr>
          <w:p w14:paraId="7B4A9796">
            <w:pPr>
              <w:adjustRightInd w:val="0"/>
              <w:snapToGrid w:val="0"/>
              <w:jc w:val="both"/>
              <w:rPr>
                <w:rFonts w:hint="eastAsia"/>
                <w:vertAlign w:val="baseline"/>
                <w:lang w:val="en-US" w:eastAsia="zh-CN"/>
              </w:rPr>
            </w:pPr>
          </w:p>
        </w:tc>
        <w:tc>
          <w:tcPr>
            <w:tcW w:w="1065" w:type="dxa"/>
          </w:tcPr>
          <w:p w14:paraId="190CC850">
            <w:pPr>
              <w:adjustRightInd w:val="0"/>
              <w:snapToGrid w:val="0"/>
              <w:jc w:val="both"/>
              <w:rPr>
                <w:rFonts w:hint="eastAsia"/>
                <w:vertAlign w:val="baseline"/>
                <w:lang w:val="en-US" w:eastAsia="zh-CN"/>
              </w:rPr>
            </w:pPr>
          </w:p>
        </w:tc>
        <w:tc>
          <w:tcPr>
            <w:tcW w:w="1065" w:type="dxa"/>
          </w:tcPr>
          <w:p w14:paraId="0421116D">
            <w:pPr>
              <w:adjustRightInd w:val="0"/>
              <w:snapToGrid w:val="0"/>
              <w:jc w:val="both"/>
              <w:rPr>
                <w:rFonts w:hint="eastAsia"/>
                <w:vertAlign w:val="baseline"/>
                <w:lang w:val="en-US" w:eastAsia="zh-CN"/>
              </w:rPr>
            </w:pPr>
          </w:p>
        </w:tc>
      </w:tr>
      <w:tr w14:paraId="2062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0B1C7A37">
            <w:pPr>
              <w:adjustRightInd w:val="0"/>
              <w:snapToGrid w:val="0"/>
              <w:jc w:val="both"/>
              <w:rPr>
                <w:rFonts w:hint="eastAsia"/>
                <w:vertAlign w:val="baseline"/>
                <w:lang w:val="en-US" w:eastAsia="zh-CN"/>
              </w:rPr>
            </w:pPr>
          </w:p>
        </w:tc>
        <w:tc>
          <w:tcPr>
            <w:tcW w:w="1065" w:type="dxa"/>
          </w:tcPr>
          <w:p w14:paraId="082C7504">
            <w:pPr>
              <w:adjustRightInd w:val="0"/>
              <w:snapToGrid w:val="0"/>
              <w:jc w:val="both"/>
              <w:rPr>
                <w:rFonts w:hint="eastAsia"/>
                <w:vertAlign w:val="baseline"/>
                <w:lang w:val="en-US" w:eastAsia="zh-CN"/>
              </w:rPr>
            </w:pPr>
          </w:p>
        </w:tc>
        <w:tc>
          <w:tcPr>
            <w:tcW w:w="1065" w:type="dxa"/>
          </w:tcPr>
          <w:p w14:paraId="714BF21B">
            <w:pPr>
              <w:adjustRightInd w:val="0"/>
              <w:snapToGrid w:val="0"/>
              <w:jc w:val="both"/>
              <w:rPr>
                <w:rFonts w:hint="eastAsia"/>
                <w:vertAlign w:val="baseline"/>
                <w:lang w:val="en-US" w:eastAsia="zh-CN"/>
              </w:rPr>
            </w:pPr>
          </w:p>
        </w:tc>
        <w:tc>
          <w:tcPr>
            <w:tcW w:w="1065" w:type="dxa"/>
          </w:tcPr>
          <w:p w14:paraId="7F9B17B5">
            <w:pPr>
              <w:adjustRightInd w:val="0"/>
              <w:snapToGrid w:val="0"/>
              <w:jc w:val="both"/>
              <w:rPr>
                <w:rFonts w:hint="eastAsia"/>
                <w:vertAlign w:val="baseline"/>
                <w:lang w:val="en-US" w:eastAsia="zh-CN"/>
              </w:rPr>
            </w:pPr>
          </w:p>
        </w:tc>
        <w:tc>
          <w:tcPr>
            <w:tcW w:w="1065" w:type="dxa"/>
          </w:tcPr>
          <w:p w14:paraId="45AAC319">
            <w:pPr>
              <w:adjustRightInd w:val="0"/>
              <w:snapToGrid w:val="0"/>
              <w:jc w:val="both"/>
              <w:rPr>
                <w:rFonts w:hint="eastAsia"/>
                <w:vertAlign w:val="baseline"/>
                <w:lang w:val="en-US" w:eastAsia="zh-CN"/>
              </w:rPr>
            </w:pPr>
          </w:p>
        </w:tc>
        <w:tc>
          <w:tcPr>
            <w:tcW w:w="1065" w:type="dxa"/>
          </w:tcPr>
          <w:p w14:paraId="1F08C48B">
            <w:pPr>
              <w:adjustRightInd w:val="0"/>
              <w:snapToGrid w:val="0"/>
              <w:jc w:val="both"/>
              <w:rPr>
                <w:rFonts w:hint="eastAsia"/>
                <w:vertAlign w:val="baseline"/>
                <w:lang w:val="en-US" w:eastAsia="zh-CN"/>
              </w:rPr>
            </w:pPr>
          </w:p>
        </w:tc>
        <w:tc>
          <w:tcPr>
            <w:tcW w:w="1065" w:type="dxa"/>
          </w:tcPr>
          <w:p w14:paraId="4891C989">
            <w:pPr>
              <w:adjustRightInd w:val="0"/>
              <w:snapToGrid w:val="0"/>
              <w:jc w:val="both"/>
              <w:rPr>
                <w:rFonts w:hint="eastAsia"/>
                <w:vertAlign w:val="baseline"/>
                <w:lang w:val="en-US" w:eastAsia="zh-CN"/>
              </w:rPr>
            </w:pPr>
          </w:p>
        </w:tc>
        <w:tc>
          <w:tcPr>
            <w:tcW w:w="1065" w:type="dxa"/>
          </w:tcPr>
          <w:p w14:paraId="7B36392E">
            <w:pPr>
              <w:adjustRightInd w:val="0"/>
              <w:snapToGrid w:val="0"/>
              <w:jc w:val="both"/>
              <w:rPr>
                <w:rFonts w:hint="eastAsia"/>
                <w:vertAlign w:val="baseline"/>
                <w:lang w:val="en-US" w:eastAsia="zh-CN"/>
              </w:rPr>
            </w:pPr>
          </w:p>
        </w:tc>
      </w:tr>
      <w:tr w14:paraId="40D0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6A7BCBD">
            <w:pPr>
              <w:adjustRightInd w:val="0"/>
              <w:snapToGrid w:val="0"/>
              <w:jc w:val="both"/>
              <w:rPr>
                <w:rFonts w:hint="eastAsia"/>
                <w:vertAlign w:val="baseline"/>
                <w:lang w:val="en-US" w:eastAsia="zh-CN"/>
              </w:rPr>
            </w:pPr>
          </w:p>
        </w:tc>
        <w:tc>
          <w:tcPr>
            <w:tcW w:w="1065" w:type="dxa"/>
          </w:tcPr>
          <w:p w14:paraId="3BD64267">
            <w:pPr>
              <w:adjustRightInd w:val="0"/>
              <w:snapToGrid w:val="0"/>
              <w:jc w:val="both"/>
              <w:rPr>
                <w:rFonts w:hint="eastAsia"/>
                <w:vertAlign w:val="baseline"/>
                <w:lang w:val="en-US" w:eastAsia="zh-CN"/>
              </w:rPr>
            </w:pPr>
          </w:p>
        </w:tc>
        <w:tc>
          <w:tcPr>
            <w:tcW w:w="1065" w:type="dxa"/>
          </w:tcPr>
          <w:p w14:paraId="5D779375">
            <w:pPr>
              <w:adjustRightInd w:val="0"/>
              <w:snapToGrid w:val="0"/>
              <w:jc w:val="both"/>
              <w:rPr>
                <w:rFonts w:hint="eastAsia"/>
                <w:vertAlign w:val="baseline"/>
                <w:lang w:val="en-US" w:eastAsia="zh-CN"/>
              </w:rPr>
            </w:pPr>
          </w:p>
        </w:tc>
        <w:tc>
          <w:tcPr>
            <w:tcW w:w="1065" w:type="dxa"/>
          </w:tcPr>
          <w:p w14:paraId="640F1B06">
            <w:pPr>
              <w:adjustRightInd w:val="0"/>
              <w:snapToGrid w:val="0"/>
              <w:jc w:val="both"/>
              <w:rPr>
                <w:rFonts w:hint="eastAsia"/>
                <w:vertAlign w:val="baseline"/>
                <w:lang w:val="en-US" w:eastAsia="zh-CN"/>
              </w:rPr>
            </w:pPr>
          </w:p>
        </w:tc>
        <w:tc>
          <w:tcPr>
            <w:tcW w:w="1065" w:type="dxa"/>
          </w:tcPr>
          <w:p w14:paraId="5E0FAE0F">
            <w:pPr>
              <w:adjustRightInd w:val="0"/>
              <w:snapToGrid w:val="0"/>
              <w:jc w:val="both"/>
              <w:rPr>
                <w:rFonts w:hint="eastAsia"/>
                <w:vertAlign w:val="baseline"/>
                <w:lang w:val="en-US" w:eastAsia="zh-CN"/>
              </w:rPr>
            </w:pPr>
          </w:p>
        </w:tc>
        <w:tc>
          <w:tcPr>
            <w:tcW w:w="1065" w:type="dxa"/>
          </w:tcPr>
          <w:p w14:paraId="4440477E">
            <w:pPr>
              <w:adjustRightInd w:val="0"/>
              <w:snapToGrid w:val="0"/>
              <w:jc w:val="both"/>
              <w:rPr>
                <w:rFonts w:hint="eastAsia"/>
                <w:vertAlign w:val="baseline"/>
                <w:lang w:val="en-US" w:eastAsia="zh-CN"/>
              </w:rPr>
            </w:pPr>
          </w:p>
        </w:tc>
        <w:tc>
          <w:tcPr>
            <w:tcW w:w="1065" w:type="dxa"/>
          </w:tcPr>
          <w:p w14:paraId="22A3793B">
            <w:pPr>
              <w:adjustRightInd w:val="0"/>
              <w:snapToGrid w:val="0"/>
              <w:jc w:val="both"/>
              <w:rPr>
                <w:rFonts w:hint="eastAsia"/>
                <w:vertAlign w:val="baseline"/>
                <w:lang w:val="en-US" w:eastAsia="zh-CN"/>
              </w:rPr>
            </w:pPr>
          </w:p>
        </w:tc>
        <w:tc>
          <w:tcPr>
            <w:tcW w:w="1065" w:type="dxa"/>
          </w:tcPr>
          <w:p w14:paraId="28AE1FBE">
            <w:pPr>
              <w:adjustRightInd w:val="0"/>
              <w:snapToGrid w:val="0"/>
              <w:jc w:val="both"/>
              <w:rPr>
                <w:rFonts w:hint="eastAsia"/>
                <w:vertAlign w:val="baseline"/>
                <w:lang w:val="en-US" w:eastAsia="zh-CN"/>
              </w:rPr>
            </w:pPr>
          </w:p>
        </w:tc>
      </w:tr>
      <w:tr w14:paraId="3318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3D682156">
            <w:pPr>
              <w:adjustRightInd w:val="0"/>
              <w:snapToGrid w:val="0"/>
              <w:jc w:val="both"/>
              <w:rPr>
                <w:rFonts w:hint="eastAsia"/>
                <w:vertAlign w:val="baseline"/>
                <w:lang w:val="en-US" w:eastAsia="zh-CN"/>
              </w:rPr>
            </w:pPr>
          </w:p>
        </w:tc>
        <w:tc>
          <w:tcPr>
            <w:tcW w:w="1065" w:type="dxa"/>
          </w:tcPr>
          <w:p w14:paraId="69C46A51">
            <w:pPr>
              <w:adjustRightInd w:val="0"/>
              <w:snapToGrid w:val="0"/>
              <w:jc w:val="both"/>
              <w:rPr>
                <w:rFonts w:hint="eastAsia"/>
                <w:vertAlign w:val="baseline"/>
                <w:lang w:val="en-US" w:eastAsia="zh-CN"/>
              </w:rPr>
            </w:pPr>
          </w:p>
        </w:tc>
        <w:tc>
          <w:tcPr>
            <w:tcW w:w="1065" w:type="dxa"/>
          </w:tcPr>
          <w:p w14:paraId="4044DCAA">
            <w:pPr>
              <w:adjustRightInd w:val="0"/>
              <w:snapToGrid w:val="0"/>
              <w:jc w:val="both"/>
              <w:rPr>
                <w:rFonts w:hint="eastAsia"/>
                <w:vertAlign w:val="baseline"/>
                <w:lang w:val="en-US" w:eastAsia="zh-CN"/>
              </w:rPr>
            </w:pPr>
          </w:p>
        </w:tc>
        <w:tc>
          <w:tcPr>
            <w:tcW w:w="1065" w:type="dxa"/>
          </w:tcPr>
          <w:p w14:paraId="1DB3553E">
            <w:pPr>
              <w:adjustRightInd w:val="0"/>
              <w:snapToGrid w:val="0"/>
              <w:jc w:val="both"/>
              <w:rPr>
                <w:rFonts w:hint="eastAsia"/>
                <w:vertAlign w:val="baseline"/>
                <w:lang w:val="en-US" w:eastAsia="zh-CN"/>
              </w:rPr>
            </w:pPr>
          </w:p>
        </w:tc>
        <w:tc>
          <w:tcPr>
            <w:tcW w:w="1065" w:type="dxa"/>
          </w:tcPr>
          <w:p w14:paraId="06FF7EF4">
            <w:pPr>
              <w:adjustRightInd w:val="0"/>
              <w:snapToGrid w:val="0"/>
              <w:jc w:val="both"/>
              <w:rPr>
                <w:rFonts w:hint="eastAsia"/>
                <w:vertAlign w:val="baseline"/>
                <w:lang w:val="en-US" w:eastAsia="zh-CN"/>
              </w:rPr>
            </w:pPr>
          </w:p>
        </w:tc>
        <w:tc>
          <w:tcPr>
            <w:tcW w:w="1065" w:type="dxa"/>
          </w:tcPr>
          <w:p w14:paraId="21D591EF">
            <w:pPr>
              <w:adjustRightInd w:val="0"/>
              <w:snapToGrid w:val="0"/>
              <w:jc w:val="both"/>
              <w:rPr>
                <w:rFonts w:hint="eastAsia"/>
                <w:vertAlign w:val="baseline"/>
                <w:lang w:val="en-US" w:eastAsia="zh-CN"/>
              </w:rPr>
            </w:pPr>
          </w:p>
        </w:tc>
        <w:tc>
          <w:tcPr>
            <w:tcW w:w="1065" w:type="dxa"/>
          </w:tcPr>
          <w:p w14:paraId="161F39D3">
            <w:pPr>
              <w:adjustRightInd w:val="0"/>
              <w:snapToGrid w:val="0"/>
              <w:jc w:val="both"/>
              <w:rPr>
                <w:rFonts w:hint="eastAsia"/>
                <w:vertAlign w:val="baseline"/>
                <w:lang w:val="en-US" w:eastAsia="zh-CN"/>
              </w:rPr>
            </w:pPr>
          </w:p>
        </w:tc>
        <w:tc>
          <w:tcPr>
            <w:tcW w:w="1065" w:type="dxa"/>
          </w:tcPr>
          <w:p w14:paraId="2581ED46">
            <w:pPr>
              <w:adjustRightInd w:val="0"/>
              <w:snapToGrid w:val="0"/>
              <w:jc w:val="both"/>
              <w:rPr>
                <w:rFonts w:hint="eastAsia"/>
                <w:vertAlign w:val="baseline"/>
                <w:lang w:val="en-US" w:eastAsia="zh-CN"/>
              </w:rPr>
            </w:pPr>
          </w:p>
        </w:tc>
      </w:tr>
      <w:tr w14:paraId="43E2A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58C15357">
            <w:pPr>
              <w:adjustRightInd w:val="0"/>
              <w:snapToGrid w:val="0"/>
              <w:jc w:val="both"/>
              <w:rPr>
                <w:rFonts w:hint="eastAsia"/>
                <w:vertAlign w:val="baseline"/>
                <w:lang w:val="en-US" w:eastAsia="zh-CN"/>
              </w:rPr>
            </w:pPr>
          </w:p>
        </w:tc>
        <w:tc>
          <w:tcPr>
            <w:tcW w:w="1065" w:type="dxa"/>
          </w:tcPr>
          <w:p w14:paraId="20764A67">
            <w:pPr>
              <w:adjustRightInd w:val="0"/>
              <w:snapToGrid w:val="0"/>
              <w:jc w:val="both"/>
              <w:rPr>
                <w:rFonts w:hint="eastAsia"/>
                <w:vertAlign w:val="baseline"/>
                <w:lang w:val="en-US" w:eastAsia="zh-CN"/>
              </w:rPr>
            </w:pPr>
          </w:p>
        </w:tc>
        <w:tc>
          <w:tcPr>
            <w:tcW w:w="1065" w:type="dxa"/>
          </w:tcPr>
          <w:p w14:paraId="4D071ADD">
            <w:pPr>
              <w:adjustRightInd w:val="0"/>
              <w:snapToGrid w:val="0"/>
              <w:jc w:val="both"/>
              <w:rPr>
                <w:rFonts w:hint="eastAsia"/>
                <w:vertAlign w:val="baseline"/>
                <w:lang w:val="en-US" w:eastAsia="zh-CN"/>
              </w:rPr>
            </w:pPr>
          </w:p>
        </w:tc>
        <w:tc>
          <w:tcPr>
            <w:tcW w:w="1065" w:type="dxa"/>
          </w:tcPr>
          <w:p w14:paraId="278102EC">
            <w:pPr>
              <w:adjustRightInd w:val="0"/>
              <w:snapToGrid w:val="0"/>
              <w:jc w:val="both"/>
              <w:rPr>
                <w:rFonts w:hint="eastAsia"/>
                <w:vertAlign w:val="baseline"/>
                <w:lang w:val="en-US" w:eastAsia="zh-CN"/>
              </w:rPr>
            </w:pPr>
          </w:p>
        </w:tc>
        <w:tc>
          <w:tcPr>
            <w:tcW w:w="1065" w:type="dxa"/>
          </w:tcPr>
          <w:p w14:paraId="2454EA9C">
            <w:pPr>
              <w:adjustRightInd w:val="0"/>
              <w:snapToGrid w:val="0"/>
              <w:jc w:val="both"/>
              <w:rPr>
                <w:rFonts w:hint="eastAsia"/>
                <w:vertAlign w:val="baseline"/>
                <w:lang w:val="en-US" w:eastAsia="zh-CN"/>
              </w:rPr>
            </w:pPr>
          </w:p>
        </w:tc>
        <w:tc>
          <w:tcPr>
            <w:tcW w:w="1065" w:type="dxa"/>
          </w:tcPr>
          <w:p w14:paraId="6F6F3F8E">
            <w:pPr>
              <w:adjustRightInd w:val="0"/>
              <w:snapToGrid w:val="0"/>
              <w:jc w:val="both"/>
              <w:rPr>
                <w:rFonts w:hint="eastAsia"/>
                <w:vertAlign w:val="baseline"/>
                <w:lang w:val="en-US" w:eastAsia="zh-CN"/>
              </w:rPr>
            </w:pPr>
          </w:p>
        </w:tc>
        <w:tc>
          <w:tcPr>
            <w:tcW w:w="1065" w:type="dxa"/>
          </w:tcPr>
          <w:p w14:paraId="46C1F291">
            <w:pPr>
              <w:adjustRightInd w:val="0"/>
              <w:snapToGrid w:val="0"/>
              <w:jc w:val="both"/>
              <w:rPr>
                <w:rFonts w:hint="eastAsia"/>
                <w:vertAlign w:val="baseline"/>
                <w:lang w:val="en-US" w:eastAsia="zh-CN"/>
              </w:rPr>
            </w:pPr>
          </w:p>
        </w:tc>
        <w:tc>
          <w:tcPr>
            <w:tcW w:w="1065" w:type="dxa"/>
          </w:tcPr>
          <w:p w14:paraId="2F3C850A">
            <w:pPr>
              <w:adjustRightInd w:val="0"/>
              <w:snapToGrid w:val="0"/>
              <w:jc w:val="both"/>
              <w:rPr>
                <w:rFonts w:hint="eastAsia"/>
                <w:vertAlign w:val="baseline"/>
                <w:lang w:val="en-US" w:eastAsia="zh-CN"/>
              </w:rPr>
            </w:pPr>
          </w:p>
        </w:tc>
      </w:tr>
      <w:tr w14:paraId="484B2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14:paraId="7B089CBE">
            <w:pPr>
              <w:adjustRightInd w:val="0"/>
              <w:snapToGrid w:val="0"/>
              <w:jc w:val="both"/>
              <w:rPr>
                <w:rFonts w:hint="eastAsia"/>
                <w:vertAlign w:val="baseline"/>
                <w:lang w:val="en-US" w:eastAsia="zh-CN"/>
              </w:rPr>
            </w:pPr>
          </w:p>
        </w:tc>
        <w:tc>
          <w:tcPr>
            <w:tcW w:w="1065" w:type="dxa"/>
          </w:tcPr>
          <w:p w14:paraId="6827FCC3">
            <w:pPr>
              <w:adjustRightInd w:val="0"/>
              <w:snapToGrid w:val="0"/>
              <w:jc w:val="both"/>
              <w:rPr>
                <w:rFonts w:hint="eastAsia"/>
                <w:vertAlign w:val="baseline"/>
                <w:lang w:val="en-US" w:eastAsia="zh-CN"/>
              </w:rPr>
            </w:pPr>
          </w:p>
        </w:tc>
        <w:tc>
          <w:tcPr>
            <w:tcW w:w="1065" w:type="dxa"/>
          </w:tcPr>
          <w:p w14:paraId="26D5A769">
            <w:pPr>
              <w:adjustRightInd w:val="0"/>
              <w:snapToGrid w:val="0"/>
              <w:jc w:val="both"/>
              <w:rPr>
                <w:rFonts w:hint="eastAsia"/>
                <w:vertAlign w:val="baseline"/>
                <w:lang w:val="en-US" w:eastAsia="zh-CN"/>
              </w:rPr>
            </w:pPr>
          </w:p>
        </w:tc>
        <w:tc>
          <w:tcPr>
            <w:tcW w:w="1065" w:type="dxa"/>
          </w:tcPr>
          <w:p w14:paraId="167C5446">
            <w:pPr>
              <w:adjustRightInd w:val="0"/>
              <w:snapToGrid w:val="0"/>
              <w:jc w:val="both"/>
              <w:rPr>
                <w:rFonts w:hint="eastAsia"/>
                <w:vertAlign w:val="baseline"/>
                <w:lang w:val="en-US" w:eastAsia="zh-CN"/>
              </w:rPr>
            </w:pPr>
          </w:p>
        </w:tc>
        <w:tc>
          <w:tcPr>
            <w:tcW w:w="1065" w:type="dxa"/>
          </w:tcPr>
          <w:p w14:paraId="34A3F93E">
            <w:pPr>
              <w:adjustRightInd w:val="0"/>
              <w:snapToGrid w:val="0"/>
              <w:jc w:val="both"/>
              <w:rPr>
                <w:rFonts w:hint="eastAsia"/>
                <w:vertAlign w:val="baseline"/>
                <w:lang w:val="en-US" w:eastAsia="zh-CN"/>
              </w:rPr>
            </w:pPr>
          </w:p>
        </w:tc>
        <w:tc>
          <w:tcPr>
            <w:tcW w:w="1065" w:type="dxa"/>
          </w:tcPr>
          <w:p w14:paraId="548AA69D">
            <w:pPr>
              <w:adjustRightInd w:val="0"/>
              <w:snapToGrid w:val="0"/>
              <w:jc w:val="both"/>
              <w:rPr>
                <w:rFonts w:hint="eastAsia"/>
                <w:vertAlign w:val="baseline"/>
                <w:lang w:val="en-US" w:eastAsia="zh-CN"/>
              </w:rPr>
            </w:pPr>
          </w:p>
        </w:tc>
        <w:tc>
          <w:tcPr>
            <w:tcW w:w="1065" w:type="dxa"/>
          </w:tcPr>
          <w:p w14:paraId="2FB9E679">
            <w:pPr>
              <w:adjustRightInd w:val="0"/>
              <w:snapToGrid w:val="0"/>
              <w:jc w:val="both"/>
              <w:rPr>
                <w:rFonts w:hint="eastAsia"/>
                <w:vertAlign w:val="baseline"/>
                <w:lang w:val="en-US" w:eastAsia="zh-CN"/>
              </w:rPr>
            </w:pPr>
          </w:p>
        </w:tc>
        <w:tc>
          <w:tcPr>
            <w:tcW w:w="1065" w:type="dxa"/>
          </w:tcPr>
          <w:p w14:paraId="493F1EB7">
            <w:pPr>
              <w:adjustRightInd w:val="0"/>
              <w:snapToGrid w:val="0"/>
              <w:jc w:val="both"/>
              <w:rPr>
                <w:rFonts w:hint="eastAsia"/>
                <w:vertAlign w:val="baseline"/>
                <w:lang w:val="en-US" w:eastAsia="zh-CN"/>
              </w:rPr>
            </w:pPr>
          </w:p>
        </w:tc>
      </w:tr>
    </w:tbl>
    <w:p w14:paraId="20FFB88E">
      <w:pPr>
        <w:adjustRightInd w:val="0"/>
        <w:snapToGrid w:val="0"/>
        <w:jc w:val="both"/>
        <w:rPr>
          <w:rFonts w:hint="eastAsia"/>
          <w:lang w:val="en-US" w:eastAsia="zh-CN"/>
        </w:rPr>
      </w:pPr>
      <w:r>
        <w:rPr>
          <w:rFonts w:hint="eastAsia"/>
          <w:lang w:val="en-US" w:eastAsia="zh-CN"/>
        </w:rPr>
        <w:t>不确定度说明：</w:t>
      </w:r>
    </w:p>
    <w:p w14:paraId="4091BEB1">
      <w:pPr>
        <w:adjustRightInd w:val="0"/>
        <w:snapToGrid w:val="0"/>
        <w:jc w:val="both"/>
        <w:rPr>
          <w:rFonts w:hint="default"/>
          <w:lang w:val="en-US" w:eastAsia="zh-CN"/>
        </w:rPr>
      </w:pPr>
    </w:p>
    <w:p w14:paraId="6C7EEC49">
      <w:pPr>
        <w:adjustRightInd w:val="0"/>
        <w:snapToGrid w:val="0"/>
        <w:jc w:val="both"/>
        <w:rPr>
          <w:rFonts w:hint="eastAsia"/>
          <w:lang w:val="en-US" w:eastAsia="zh-CN"/>
        </w:rPr>
      </w:pPr>
      <w:r>
        <w:rPr>
          <w:rFonts w:hint="eastAsia"/>
          <w:lang w:val="en-US" w:eastAsia="zh-CN"/>
        </w:rPr>
        <w:t>区域编号定义说明：</w:t>
      </w:r>
    </w:p>
    <w:p w14:paraId="63686DA8">
      <w:pPr>
        <w:adjustRightInd w:val="0"/>
        <w:snapToGrid w:val="0"/>
        <w:jc w:val="both"/>
        <w:rPr>
          <w:rFonts w:hint="eastAsia"/>
          <w:lang w:val="en-US" w:eastAsia="zh-CN"/>
        </w:rPr>
      </w:pPr>
    </w:p>
    <w:p w14:paraId="47791901">
      <w:pPr>
        <w:adjustRightInd w:val="0"/>
        <w:snapToGrid w:val="0"/>
        <w:jc w:val="both"/>
        <w:rPr>
          <w:rFonts w:hint="eastAsia"/>
          <w:lang w:val="en-US" w:eastAsia="zh-CN"/>
        </w:rPr>
      </w:pPr>
    </w:p>
    <w:p w14:paraId="0FD443CA">
      <w:pPr>
        <w:adjustRightInd w:val="0"/>
        <w:snapToGrid w:val="0"/>
        <w:jc w:val="both"/>
        <w:rPr>
          <w:rFonts w:hint="eastAsia"/>
          <w:lang w:val="en-US" w:eastAsia="zh-CN"/>
        </w:rPr>
      </w:pPr>
    </w:p>
    <w:p w14:paraId="1D9C52DD">
      <w:pPr>
        <w:adjustRightInd w:val="0"/>
        <w:snapToGrid w:val="0"/>
        <w:jc w:val="both"/>
        <w:rPr>
          <w:rFonts w:hint="eastAsia"/>
          <w:lang w:val="en-US" w:eastAsia="zh-CN"/>
        </w:rPr>
      </w:pPr>
    </w:p>
    <w:p w14:paraId="7E2626EC">
      <w:pPr>
        <w:pStyle w:val="12"/>
        <w:ind w:firstLine="480"/>
      </w:pPr>
      <w:r>
        <w:rPr>
          <w:rFonts w:hint="eastAsia" w:eastAsia="黑体"/>
          <w:sz w:val="24"/>
        </w:rPr>
        <w:t xml:space="preserve">校准员：                </w:t>
      </w:r>
      <w:r>
        <w:rPr>
          <w:rFonts w:eastAsia="黑体"/>
          <w:sz w:val="24"/>
        </w:rPr>
        <w:t xml:space="preserve">          </w:t>
      </w:r>
      <w:r>
        <w:rPr>
          <w:rFonts w:hint="eastAsia" w:eastAsia="黑体"/>
          <w:sz w:val="24"/>
        </w:rPr>
        <w:t xml:space="preserve">        核验员：</w:t>
      </w:r>
    </w:p>
    <w:p w14:paraId="69FA52BE">
      <w:pPr>
        <w:adjustRightInd w:val="0"/>
        <w:snapToGrid w:val="0"/>
        <w:jc w:val="both"/>
        <w:rPr>
          <w:rFonts w:hint="default"/>
          <w:lang w:val="en-US" w:eastAsia="zh-CN"/>
        </w:rPr>
      </w:pPr>
    </w:p>
    <w:p w14:paraId="565A6066">
      <w:pPr>
        <w:rPr>
          <w:rFonts w:hint="eastAsia"/>
          <w:lang w:val="en-US" w:eastAsia="zh-CN"/>
        </w:rPr>
      </w:pPr>
      <w:r>
        <w:rPr>
          <w:rFonts w:hint="eastAsia"/>
          <w:lang w:val="en-US" w:eastAsia="zh-CN"/>
        </w:rPr>
        <w:br w:type="page"/>
      </w:r>
    </w:p>
    <w:p w14:paraId="15862FE8">
      <w:pPr>
        <w:pStyle w:val="15"/>
        <w:bidi w:val="0"/>
        <w:rPr>
          <w:rFonts w:hint="eastAsia"/>
          <w:lang w:val="en-US" w:eastAsia="zh-CN"/>
        </w:rPr>
      </w:pPr>
      <w:bookmarkStart w:id="98" w:name="_Toc30637"/>
      <w:r>
        <w:rPr>
          <w:rFonts w:hint="eastAsia"/>
        </w:rPr>
        <w:t>附录</w:t>
      </w:r>
      <w:r>
        <w:rPr>
          <w:rFonts w:hint="eastAsia"/>
          <w:lang w:val="en-US" w:eastAsia="zh-CN"/>
        </w:rPr>
        <w:t xml:space="preserve">B </w:t>
      </w:r>
      <w:r>
        <w:rPr>
          <w:bCs/>
        </w:rPr>
        <w:t>测量不确定度</w:t>
      </w:r>
      <w:r>
        <w:rPr>
          <w:rFonts w:hint="eastAsia"/>
          <w:bCs/>
        </w:rPr>
        <w:t>评定示例</w:t>
      </w:r>
      <w:bookmarkEnd w:id="98"/>
    </w:p>
    <w:p w14:paraId="3358F64C">
      <w:pPr>
        <w:adjustRightInd w:val="0"/>
        <w:snapToGrid w:val="0"/>
        <w:ind w:firstLine="480" w:firstLineChars="200"/>
        <w:jc w:val="both"/>
        <w:rPr>
          <w:rFonts w:hint="eastAsia"/>
          <w:lang w:val="en-US" w:eastAsia="zh-CN"/>
        </w:rPr>
      </w:pPr>
      <w:r>
        <w:rPr>
          <w:rFonts w:hint="eastAsia"/>
          <w:lang w:val="en-US" w:eastAsia="zh-CN"/>
        </w:rPr>
        <w:t>本附录仅对采用光谱辐射亮度计标定某一个角度区域的mini LED显示屏的亮度测量和色品坐标结果进行不确定度评定。</w:t>
      </w:r>
    </w:p>
    <w:p w14:paraId="34A3D15A">
      <w:pPr>
        <w:adjustRightInd w:val="0"/>
        <w:snapToGrid w:val="0"/>
        <w:jc w:val="both"/>
        <w:rPr>
          <w:rFonts w:hint="eastAsia"/>
          <w:lang w:val="en-US" w:eastAsia="zh-CN"/>
        </w:rPr>
      </w:pPr>
    </w:p>
    <w:p w14:paraId="17F23233">
      <w:pPr>
        <w:adjustRightInd w:val="0"/>
        <w:snapToGrid w:val="0"/>
        <w:jc w:val="both"/>
        <w:rPr>
          <w:rFonts w:hint="default"/>
          <w:lang w:val="en-US" w:eastAsia="zh-CN"/>
        </w:rPr>
      </w:pPr>
      <w:r>
        <w:rPr>
          <w:rFonts w:hint="eastAsia"/>
          <w:lang w:val="en-US" w:eastAsia="zh-CN"/>
        </w:rPr>
        <w:t>B.1 亮度测量</w:t>
      </w:r>
      <w:r>
        <w:rPr>
          <w:bCs/>
        </w:rPr>
        <w:t>不确定度</w:t>
      </w:r>
      <w:r>
        <w:rPr>
          <w:rFonts w:hint="eastAsia"/>
          <w:bCs/>
        </w:rPr>
        <w:t>评定示例</w:t>
      </w:r>
    </w:p>
    <w:p w14:paraId="74D5FB42">
      <w:pPr>
        <w:adjustRightInd w:val="0"/>
        <w:snapToGrid w:val="0"/>
        <w:jc w:val="both"/>
        <w:rPr>
          <w:rFonts w:hint="eastAsia"/>
          <w:lang w:val="en-US" w:eastAsia="zh-CN"/>
        </w:rPr>
      </w:pPr>
      <w:r>
        <w:rPr>
          <w:rFonts w:hint="eastAsia"/>
          <w:lang w:val="en-US" w:eastAsia="zh-CN"/>
        </w:rPr>
        <w:t>B.1.1 亮度测量模型</w:t>
      </w:r>
    </w:p>
    <w:p w14:paraId="2B599929">
      <w:pPr>
        <w:pStyle w:val="3"/>
        <w:ind w:firstLine="480" w:firstLineChars="200"/>
        <w:rPr>
          <w:rFonts w:hint="eastAsia" w:eastAsiaTheme="minorEastAsia"/>
          <w:lang w:val="en-US" w:eastAsia="zh-CN"/>
        </w:rPr>
      </w:pPr>
      <w:r>
        <w:rPr>
          <w:rFonts w:hint="eastAsia"/>
          <w:lang w:val="en-US" w:eastAsia="zh-CN"/>
        </w:rPr>
        <w:t>对于</w:t>
      </w:r>
      <w:r>
        <w:rPr>
          <w:rFonts w:hint="eastAsia"/>
        </w:rPr>
        <w:t>Mini LED显示屏测量标准装置</w:t>
      </w:r>
      <w:r>
        <w:rPr>
          <w:rFonts w:hint="eastAsia"/>
          <w:lang w:eastAsia="zh-CN"/>
        </w:rPr>
        <w:t>，</w:t>
      </w:r>
      <w:r>
        <w:rPr>
          <w:rFonts w:hint="eastAsia"/>
          <w:lang w:val="en-US" w:eastAsia="zh-CN"/>
        </w:rPr>
        <w:t>使用本规范测量光色特性空间分布特性，其</w:t>
      </w:r>
      <w:r>
        <w:rPr>
          <w:rFonts w:hint="eastAsia"/>
        </w:rPr>
        <w:t>亮度</w:t>
      </w:r>
      <w:r>
        <w:rPr>
          <w:rFonts w:hint="eastAsia"/>
          <w:lang w:val="en-US" w:eastAsia="zh-CN"/>
        </w:rPr>
        <w:t>结果受</w:t>
      </w:r>
      <w:r>
        <w:rPr>
          <w:rFonts w:hint="eastAsia"/>
        </w:rPr>
        <w:t>光谱辐射亮度计</w:t>
      </w:r>
      <w:r>
        <w:rPr>
          <w:rFonts w:hint="eastAsia"/>
          <w:lang w:val="en-US" w:eastAsia="zh-CN"/>
        </w:rPr>
        <w:t>和显示屏自身特性影响</w:t>
      </w:r>
      <w:r>
        <w:rPr>
          <w:rFonts w:hint="eastAsia"/>
        </w:rPr>
        <w:t>。</w:t>
      </w:r>
    </w:p>
    <w:p w14:paraId="686F1F71">
      <w:pPr>
        <w:pStyle w:val="3"/>
        <w:ind w:firstLine="480" w:firstLineChars="200"/>
      </w:pPr>
      <w:r>
        <w:rPr>
          <w:rFonts w:hint="eastAsia"/>
        </w:rPr>
        <w:t>测量过程是使用光谱型辐射亮度计对显示屏目标区域采样并直读结果。</w:t>
      </w:r>
    </w:p>
    <w:p w14:paraId="0A1619AE">
      <w:pPr>
        <w:pStyle w:val="3"/>
        <w:ind w:firstLine="480" w:firstLineChars="200"/>
      </w:pPr>
      <w:r>
        <w:rPr>
          <w:rFonts w:hint="eastAsia"/>
        </w:rPr>
        <w:t>根据亮度计的定标和测量规律，其测量模型公式是</w:t>
      </w:r>
    </w:p>
    <w:p w14:paraId="0CE3E3B5">
      <w:pPr>
        <w:pStyle w:val="3"/>
        <w:ind w:firstLine="480" w:firstLineChars="200"/>
        <w:rPr>
          <w:rFonts w:hAnsi="Cambria Math" w:cs="Cambria Math"/>
          <w:i w:val="0"/>
        </w:rPr>
      </w:pP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71"/>
        <w:gridCol w:w="1651"/>
      </w:tblGrid>
      <w:tr w14:paraId="1174B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871" w:type="dxa"/>
          </w:tcPr>
          <w:p w14:paraId="0C1F592F">
            <w:pPr>
              <w:pStyle w:val="3"/>
              <w:rPr>
                <w:rFonts w:hAnsi="Cambria Math" w:cs="Cambria Math"/>
                <w:i w:val="0"/>
                <w:vertAlign w:val="baseline"/>
              </w:rPr>
            </w:pPr>
            <m:oMathPara>
              <m:oMath>
                <m:r>
                  <m:rPr/>
                  <w:rPr>
                    <w:rFonts w:ascii="Cambria Math" w:hAnsi="Cambria Math"/>
                  </w:rPr>
                  <m:t>L</m:t>
                </m:r>
                <m:r>
                  <m:rPr>
                    <m:sty m:val="p"/>
                  </m:rPr>
                  <w:rPr>
                    <w:rFonts w:ascii="Cambria Math" w:hAnsi="Cambria Math"/>
                  </w:rPr>
                  <m:t>=</m:t>
                </m:r>
                <m:sSub>
                  <m:sSubPr>
                    <m:ctrlPr>
                      <w:rPr>
                        <w:rFonts w:ascii="Cambria Math" w:hAnsi="Cambria Math"/>
                      </w:rPr>
                    </m:ctrlPr>
                  </m:sSubPr>
                  <m:e>
                    <m:r>
                      <m:rPr/>
                      <w:rPr>
                        <w:rFonts w:hint="default" w:ascii="Cambria Math" w:hAnsi="Cambria Math"/>
                        <w:lang w:val="en-US" w:eastAsia="zh-CN"/>
                      </w:rPr>
                      <m:t>L</m:t>
                    </m:r>
                    <m:ctrlPr>
                      <w:rPr>
                        <w:rFonts w:ascii="Cambria Math" w:hAnsi="Cambria Math"/>
                      </w:rPr>
                    </m:ctrlPr>
                  </m:e>
                  <m:sub>
                    <m:r>
                      <m:rPr>
                        <m:sty m:val="p"/>
                      </m:rPr>
                      <w:rPr>
                        <w:rFonts w:hint="default" w:ascii="Cambria Math" w:hAnsi="Cambria Math"/>
                        <w:lang w:val="en-US" w:eastAsia="zh-CN"/>
                      </w:rPr>
                      <m:t>0</m:t>
                    </m:r>
                    <m:ctrlPr>
                      <w:rPr>
                        <w:rFonts w:ascii="Cambria Math" w:hAnsi="Cambria Math"/>
                      </w:rPr>
                    </m:ctrlPr>
                  </m:sub>
                </m:sSub>
                <m:r>
                  <m:rPr>
                    <m:sty m:val="p"/>
                  </m:rPr>
                  <w:rPr>
                    <w:rFonts w:ascii="Cambria Math" w:hAnsi="Cambria Math" w:cs="Cambria Math"/>
                  </w:rPr>
                  <m:t>∙</m:t>
                </m:r>
                <m:nary>
                  <m:naryPr>
                    <m:chr m:val="∏"/>
                    <m:limLoc m:val="undOvr"/>
                    <m:ctrlPr>
                      <w:rPr>
                        <w:rFonts w:ascii="Cambria Math" w:hAnsi="Cambria Math" w:cs="Cambria Math"/>
                        <w:i/>
                      </w:rPr>
                    </m:ctrlPr>
                  </m:naryPr>
                  <m:sub>
                    <m:r>
                      <m:rPr/>
                      <w:rPr>
                        <w:rFonts w:ascii="Cambria Math" w:hAnsi="Cambria Math" w:cs="Cambria Math"/>
                      </w:rPr>
                      <m:t>i=1</m:t>
                    </m:r>
                    <m:ctrlPr>
                      <w:rPr>
                        <w:rFonts w:ascii="Cambria Math" w:hAnsi="Cambria Math" w:cs="Cambria Math"/>
                        <w:i/>
                      </w:rPr>
                    </m:ctrlPr>
                  </m:sub>
                  <m:sup>
                    <m:r>
                      <m:rPr/>
                      <w:rPr>
                        <w:rFonts w:ascii="Cambria Math" w:hAnsi="Cambria Math" w:cs="Cambria Math"/>
                      </w:rPr>
                      <m:t>n</m:t>
                    </m:r>
                    <m:r>
                      <m:rPr/>
                      <w:rPr>
                        <w:rFonts w:hint="eastAsia" w:ascii="Cambria Math" w:hAnsi="Cambria Math" w:cs="Cambria Math"/>
                      </w:rPr>
                      <m:t>=</m:t>
                    </m:r>
                    <m:r>
                      <m:rPr/>
                      <w:rPr>
                        <w:rFonts w:ascii="Cambria Math" w:hAnsi="Cambria Math" w:cs="Cambria Math"/>
                      </w:rPr>
                      <m:t>4</m:t>
                    </m:r>
                    <m:ctrlPr>
                      <w:rPr>
                        <w:rFonts w:ascii="Cambria Math" w:hAnsi="Cambria Math" w:cs="Cambria Math"/>
                        <w:i/>
                      </w:rPr>
                    </m:ctrlPr>
                  </m:sup>
                  <m:e>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i</m:t>
                        </m:r>
                        <m:ctrlPr>
                          <w:rPr>
                            <w:rFonts w:ascii="Cambria Math" w:hAnsi="Cambria Math" w:cs="Cambria Math"/>
                            <w:i/>
                          </w:rPr>
                        </m:ctrlPr>
                      </m:sub>
                    </m:sSub>
                    <m:ctrlPr>
                      <w:rPr>
                        <w:rFonts w:ascii="Cambria Math" w:hAnsi="Cambria Math" w:cs="Cambria Math"/>
                        <w:i/>
                      </w:rPr>
                    </m:ctrlPr>
                  </m:e>
                </m:nary>
              </m:oMath>
            </m:oMathPara>
          </w:p>
        </w:tc>
        <w:tc>
          <w:tcPr>
            <w:tcW w:w="1651" w:type="dxa"/>
            <w:vAlign w:val="center"/>
          </w:tcPr>
          <w:p w14:paraId="6C65ED29">
            <w:pPr>
              <w:pStyle w:val="3"/>
              <w:ind w:left="0" w:leftChars="0" w:firstLine="0" w:firstLineChars="0"/>
              <w:jc w:val="center"/>
              <w:rPr>
                <w:rFonts w:hint="default" w:hAnsi="Cambria Math" w:cs="Cambria Math" w:eastAsiaTheme="minorEastAsia"/>
                <w:i w:val="0"/>
                <w:vertAlign w:val="baseline"/>
                <w:lang w:val="en-US" w:eastAsia="zh-CN"/>
              </w:rPr>
            </w:pPr>
            <w:r>
              <w:rPr>
                <w:rFonts w:hint="eastAsia" w:hAnsi="Cambria Math" w:cs="Cambria Math"/>
                <w:i w:val="0"/>
                <w:vertAlign w:val="baseline"/>
                <w:lang w:val="en-US" w:eastAsia="zh-CN"/>
              </w:rPr>
              <w:t>(1)</w:t>
            </w:r>
          </w:p>
        </w:tc>
      </w:tr>
    </w:tbl>
    <w:p w14:paraId="1D4F014B">
      <w:pPr>
        <w:pStyle w:val="3"/>
        <w:ind w:left="0" w:leftChars="0" w:firstLine="0" w:firstLineChars="0"/>
        <w:jc w:val="both"/>
        <w:rPr>
          <w:rFonts w:hint="eastAsia" w:hAnsi="Cambria Math" w:cs="Cambria Math" w:eastAsiaTheme="minorEastAsia"/>
          <w:i w:val="0"/>
          <w:lang w:val="en-US" w:eastAsia="zh-CN"/>
        </w:rPr>
      </w:pPr>
    </w:p>
    <w:p w14:paraId="1DA352C6">
      <w:pPr>
        <w:pStyle w:val="3"/>
        <w:ind w:left="0" w:leftChars="0" w:firstLine="0" w:firstLineChars="0"/>
        <w:rPr>
          <w:rFonts w:hint="eastAsia" w:hAnsi="Cambria Math"/>
        </w:rPr>
      </w:pPr>
      <w:r>
        <w:rPr>
          <w:rFonts w:hint="eastAsia"/>
        </w:rPr>
        <w:t>式中，</w:t>
      </w:r>
      <w:r>
        <w:rPr>
          <w:rFonts w:hint="eastAsia"/>
        </w:rPr>
        <w:tab/>
      </w:r>
      <m:oMath>
        <m:r>
          <m:rPr/>
          <w:rPr>
            <w:rFonts w:hint="default" w:ascii="Cambria Math" w:hAnsi="Cambria Math"/>
            <w:lang w:val="en-US" w:eastAsia="zh-CN"/>
          </w:rPr>
          <m:t>L</m:t>
        </m:r>
      </m:oMath>
      <w:r>
        <w:rPr>
          <w:rFonts w:hint="eastAsia" w:hAnsi="Cambria Math"/>
        </w:rPr>
        <w:t>——光谱辐射亮度计的</w:t>
      </w:r>
      <w:r>
        <w:rPr>
          <w:rFonts w:hint="eastAsia" w:hAnsi="Cambria Math"/>
          <w:lang w:val="en-US" w:eastAsia="zh-CN"/>
        </w:rPr>
        <w:t>测量结果</w:t>
      </w:r>
      <w:r>
        <w:rPr>
          <w:rFonts w:hint="eastAsia" w:hAnsi="Cambria Math"/>
        </w:rPr>
        <w:t>；</w:t>
      </w:r>
    </w:p>
    <w:p w14:paraId="6F93DD9E">
      <w:pPr>
        <w:pStyle w:val="3"/>
        <w:ind w:left="420" w:leftChars="0" w:firstLine="420" w:firstLineChars="0"/>
        <w:rPr>
          <w:rFonts w:hint="default" w:hAnsi="Cambria Math" w:eastAsiaTheme="minorEastAsia"/>
          <w:lang w:val="en-US" w:eastAsia="zh-CN"/>
        </w:rPr>
      </w:pPr>
      <m:oMath>
        <m:sSub>
          <m:sSubPr>
            <m:ctrlPr>
              <w:rPr>
                <w:rFonts w:ascii="Cambria Math" w:hAnsi="Cambria Math"/>
              </w:rPr>
            </m:ctrlPr>
          </m:sSubPr>
          <m:e>
            <m:r>
              <m:rPr/>
              <w:rPr>
                <w:rFonts w:hint="default" w:ascii="Cambria Math" w:hAnsi="Cambria Math"/>
                <w:lang w:val="en-US" w:eastAsia="zh-CN"/>
              </w:rPr>
              <m:t>L</m:t>
            </m:r>
            <m:ctrlPr>
              <w:rPr>
                <w:rFonts w:ascii="Cambria Math" w:hAnsi="Cambria Math"/>
              </w:rPr>
            </m:ctrlPr>
          </m:e>
          <m:sub>
            <m:r>
              <m:rPr>
                <m:sty m:val="p"/>
              </m:rPr>
              <w:rPr>
                <w:rFonts w:hint="default" w:ascii="Cambria Math" w:hAnsi="Cambria Math"/>
                <w:lang w:val="en-US" w:eastAsia="zh-CN"/>
              </w:rPr>
              <m:t>0</m:t>
            </m:r>
            <m:ctrlPr>
              <w:rPr>
                <w:rFonts w:ascii="Cambria Math" w:hAnsi="Cambria Math"/>
              </w:rPr>
            </m:ctrlPr>
          </m:sub>
        </m:sSub>
      </m:oMath>
      <w:r>
        <w:rPr>
          <w:rFonts w:hint="eastAsia" w:hAnsi="Cambria Math"/>
        </w:rPr>
        <w:t>——光谱辐射亮度计的</w:t>
      </w:r>
      <w:r>
        <w:rPr>
          <w:rFonts w:hint="eastAsia" w:hAnsi="Cambria Math"/>
          <w:lang w:val="en-US" w:eastAsia="zh-CN"/>
        </w:rPr>
        <w:t>亮度读数值；</w:t>
      </w:r>
    </w:p>
    <w:p w14:paraId="1DAB3C5D">
      <w:pPr>
        <w:pStyle w:val="3"/>
        <w:ind w:left="420" w:leftChars="0" w:firstLine="420" w:firstLineChars="0"/>
        <w:rPr>
          <w:rFonts w:hAnsi="Cambria Math"/>
        </w:rPr>
      </w:pPr>
      <m:oMath>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i</m:t>
            </m:r>
            <m:ctrlPr>
              <w:rPr>
                <w:rFonts w:ascii="Cambria Math" w:hAnsi="Cambria Math" w:cs="Cambria Math"/>
                <w:i/>
              </w:rPr>
            </m:ctrlPr>
          </m:sub>
        </m:sSub>
      </m:oMath>
      <w:r>
        <w:rPr>
          <w:rFonts w:hint="eastAsia" w:hAnsi="Cambria Math"/>
        </w:rPr>
        <w:t>——光谱辐射亮度计的系列修正系数，分别是非线性、内部杂散光、测量距离和像素点间距。本模型中该系数均取1（即不进行修正，但需考虑其不确定度的影响）</w:t>
      </w:r>
    </w:p>
    <w:p w14:paraId="4D378BBC">
      <w:pPr>
        <w:pStyle w:val="3"/>
        <w:ind w:left="420" w:leftChars="0" w:firstLine="420" w:firstLineChars="0"/>
        <w:rPr>
          <w:rFonts w:hint="eastAsia" w:hAnsi="Cambria Math"/>
          <w:lang w:eastAsia="zh-CN"/>
        </w:rPr>
      </w:pPr>
      <m:oMath>
        <m:r>
          <m:rPr/>
          <w:rPr>
            <w:rFonts w:ascii="Cambria Math" w:hAnsi="Cambria Math" w:cs="Cambria Math"/>
          </w:rPr>
          <m:t>n</m:t>
        </m:r>
      </m:oMath>
      <w:r>
        <w:rPr>
          <w:rFonts w:hint="eastAsia" w:hAnsi="Cambria Math"/>
        </w:rPr>
        <w:t>——光谱辐射亮度计的采用修正系数个数，本模型中是4个。</w:t>
      </w:r>
      <w:r>
        <w:rPr>
          <w:rFonts w:hint="eastAsia" w:hAnsi="Cambria Math"/>
          <w:lang w:val="en-US" w:eastAsia="zh-CN"/>
        </w:rPr>
        <w:t>分别是亮度计的非线性、内部杂散光、测量距离和</w:t>
      </w:r>
      <w:r>
        <w:rPr>
          <w:rFonts w:hint="eastAsia" w:hAnsi="Cambria Math"/>
        </w:rPr>
        <w:t>显示屏像素点间距影响</w:t>
      </w:r>
      <w:r>
        <w:rPr>
          <w:rFonts w:hint="eastAsia" w:hAnsi="Cambria Math"/>
          <w:lang w:eastAsia="zh-CN"/>
        </w:rPr>
        <w:t>。</w:t>
      </w:r>
    </w:p>
    <w:p w14:paraId="1FAD95B7">
      <w:pPr>
        <w:pStyle w:val="3"/>
        <w:ind w:left="0" w:leftChars="0" w:firstLine="0" w:firstLineChars="0"/>
        <w:rPr>
          <w:rFonts w:hint="eastAsia" w:ascii="宋体" w:hAnsi="宋体" w:eastAsia="宋体" w:cs="宋体"/>
          <w:color w:val="000000"/>
          <w:kern w:val="0"/>
          <w:sz w:val="22"/>
          <w:szCs w:val="22"/>
          <w:lang w:val="en-US" w:eastAsia="zh-CN" w:bidi="ar"/>
        </w:rPr>
      </w:pPr>
    </w:p>
    <w:p w14:paraId="3E292C6B">
      <w:pPr>
        <w:rPr>
          <w:rFonts w:hint="eastAsia"/>
          <w:sz w:val="24"/>
          <w:szCs w:val="22"/>
          <w:highlight w:val="none"/>
          <w:lang w:val="en-US" w:eastAsia="zh-CN"/>
        </w:rPr>
      </w:pPr>
      <w:r>
        <w:rPr>
          <w:rFonts w:hint="eastAsia" w:hAnsi="Cambria Math" w:cs="Times New Roman"/>
          <w:i w:val="0"/>
          <w:kern w:val="2"/>
          <w:sz w:val="24"/>
          <w:szCs w:val="24"/>
          <w:lang w:val="en-US" w:eastAsia="zh-CN" w:bidi="ar-SA"/>
        </w:rPr>
        <w:t>B.</w:t>
      </w:r>
      <w:r>
        <w:rPr>
          <w:rFonts w:hint="eastAsia"/>
          <w:lang w:val="en-US" w:eastAsia="zh-CN"/>
        </w:rPr>
        <w:t>1.</w:t>
      </w:r>
      <w:r>
        <w:rPr>
          <w:rFonts w:hint="eastAsia" w:hAnsi="Cambria Math" w:cs="Times New Roman"/>
          <w:i w:val="0"/>
          <w:kern w:val="2"/>
          <w:sz w:val="24"/>
          <w:szCs w:val="24"/>
          <w:lang w:val="en-US" w:eastAsia="zh-CN" w:bidi="ar-SA"/>
        </w:rPr>
        <w:t xml:space="preserve">2 </w:t>
      </w:r>
      <w:r>
        <w:rPr>
          <w:rFonts w:hint="eastAsia" w:hAnsi="Cambria Math"/>
          <w:lang w:val="en-US" w:eastAsia="zh-CN"/>
        </w:rPr>
        <w:t>亮度读数</w:t>
      </w:r>
      <m:oMath>
        <m:sSub>
          <m:sSubPr>
            <m:ctrlPr>
              <w:rPr>
                <w:rFonts w:ascii="Cambria Math" w:hAnsi="Cambria Math"/>
              </w:rPr>
            </m:ctrlPr>
          </m:sSubPr>
          <m:e>
            <m:r>
              <m:rPr/>
              <w:rPr>
                <w:rFonts w:hint="default" w:ascii="Cambria Math" w:hAnsi="Cambria Math"/>
                <w:lang w:val="en-US" w:eastAsia="zh-CN"/>
              </w:rPr>
              <m:t>L</m:t>
            </m:r>
            <m:ctrlPr>
              <w:rPr>
                <w:rFonts w:ascii="Cambria Math" w:hAnsi="Cambria Math"/>
              </w:rPr>
            </m:ctrlPr>
          </m:e>
          <m:sub>
            <m:r>
              <m:rPr>
                <m:sty m:val="p"/>
              </m:rPr>
              <w:rPr>
                <w:rFonts w:hint="default" w:ascii="Cambria Math" w:hAnsi="Cambria Math"/>
                <w:lang w:val="en-US" w:eastAsia="zh-CN"/>
              </w:rPr>
              <m:t>0</m:t>
            </m:r>
            <m:ctrlPr>
              <w:rPr>
                <w:rFonts w:ascii="Cambria Math" w:hAnsi="Cambria Math"/>
              </w:rPr>
            </m:ctrlPr>
          </m:sub>
        </m:sSub>
      </m:oMath>
      <w:r>
        <w:rPr>
          <w:rFonts w:hint="eastAsia"/>
          <w:lang w:val="en-US" w:eastAsia="zh-CN"/>
        </w:rPr>
        <w:t>的不确定度分量</w:t>
      </w:r>
      <w:r>
        <w:rPr>
          <w:rFonts w:hint="eastAsia"/>
          <w:sz w:val="24"/>
          <w:szCs w:val="22"/>
          <w:highlight w:val="none"/>
          <w:lang w:val="en-US" w:eastAsia="zh-CN"/>
        </w:rPr>
        <w:t>评定</w:t>
      </w:r>
    </w:p>
    <w:p w14:paraId="25B8A499">
      <w:pPr>
        <w:ind w:firstLine="420"/>
        <w:rPr>
          <w:rFonts w:hint="default" w:hAnsi="Cambria Math"/>
          <w:szCs w:val="22"/>
          <w:lang w:val="en-US" w:eastAsia="zh-CN"/>
        </w:rPr>
      </w:pPr>
      <w:r>
        <w:rPr>
          <w:rFonts w:hint="eastAsia" w:hAnsi="Cambria Math"/>
          <w:i w:val="0"/>
          <w:szCs w:val="22"/>
          <w:lang w:val="en-US" w:eastAsia="zh-CN"/>
        </w:rPr>
        <w:t>根据经验，</w:t>
      </w:r>
      <m:oMath>
        <m:sSub>
          <m:sSubPr>
            <m:ctrlPr>
              <w:rPr>
                <w:rFonts w:ascii="Cambria Math" w:hAnsi="Cambria Math"/>
              </w:rPr>
            </m:ctrlPr>
          </m:sSubPr>
          <m:e>
            <m:r>
              <m:rPr/>
              <w:rPr>
                <w:rFonts w:hint="default" w:ascii="Cambria Math" w:hAnsi="Cambria Math"/>
                <w:lang w:val="en-US" w:eastAsia="zh-CN"/>
              </w:rPr>
              <m:t>L</m:t>
            </m:r>
            <m:ctrlPr>
              <w:rPr>
                <w:rFonts w:ascii="Cambria Math" w:hAnsi="Cambria Math"/>
              </w:rPr>
            </m:ctrlPr>
          </m:e>
          <m:sub>
            <m:r>
              <m:rPr>
                <m:sty m:val="p"/>
              </m:rPr>
              <w:rPr>
                <w:rFonts w:hint="default" w:ascii="Cambria Math" w:hAnsi="Cambria Math"/>
                <w:lang w:val="en-US" w:eastAsia="zh-CN"/>
              </w:rPr>
              <m:t>0</m:t>
            </m:r>
            <m:ctrlPr>
              <w:rPr>
                <w:rFonts w:ascii="Cambria Math" w:hAnsi="Cambria Math"/>
              </w:rPr>
            </m:ctrlPr>
          </m:sub>
        </m:sSub>
      </m:oMath>
      <w:r>
        <w:rPr>
          <w:rFonts w:hint="eastAsia" w:hAnsi="Cambria Math"/>
          <w:szCs w:val="22"/>
        </w:rPr>
        <w:t>的不确定度主要包含四个分量。</w:t>
      </w:r>
      <w:r>
        <w:rPr>
          <w:rFonts w:hint="eastAsia" w:hAnsi="Cambria Math"/>
          <w:szCs w:val="22"/>
          <w:lang w:val="en-US" w:eastAsia="zh-CN"/>
        </w:rPr>
        <w:t>分别是亮度计的校准不确定度</w:t>
      </w:r>
      <w:r>
        <w:rPr>
          <w:rFonts w:hint="eastAsia"/>
          <w:szCs w:val="22"/>
          <w:lang w:val="en-US" w:eastAsia="zh-CN"/>
        </w:rPr>
        <w:t>证书值</w:t>
      </w:r>
      <w:r>
        <w:rPr>
          <w:rFonts w:hint="eastAsia" w:hAnsi="Cambria Math"/>
          <w:szCs w:val="22"/>
          <w:lang w:val="en-US" w:eastAsia="zh-CN"/>
        </w:rPr>
        <w:t>、亮度计分辨力、测量的重复性、LED显示屏的稳定性。</w:t>
      </w:r>
    </w:p>
    <w:p w14:paraId="5EEEA383">
      <w:pPr>
        <w:rPr>
          <w:rFonts w:hint="eastAsia"/>
          <w:sz w:val="24"/>
          <w:szCs w:val="22"/>
          <w:highlight w:val="none"/>
          <w:lang w:val="en-US" w:eastAsia="zh-CN"/>
        </w:rPr>
      </w:pPr>
    </w:p>
    <w:p w14:paraId="72A8DD15">
      <w:pPr>
        <w:rPr>
          <w:rFonts w:hint="eastAsia" w:ascii="宋体" w:hAnsi="宋体" w:eastAsia="宋体" w:cs="宋体"/>
          <w:color w:val="000000"/>
          <w:kern w:val="0"/>
          <w:sz w:val="22"/>
          <w:szCs w:val="22"/>
          <w:lang w:val="en-US" w:eastAsia="zh-CN" w:bidi="ar"/>
        </w:rPr>
      </w:pPr>
      <w:r>
        <w:rPr>
          <w:rFonts w:hint="eastAsia"/>
          <w:sz w:val="24"/>
          <w:szCs w:val="22"/>
          <w:highlight w:val="none"/>
          <w:lang w:val="en-US" w:eastAsia="zh-CN"/>
        </w:rPr>
        <w:t>B.</w:t>
      </w:r>
      <w:r>
        <w:rPr>
          <w:rFonts w:hint="eastAsia"/>
          <w:lang w:val="en-US" w:eastAsia="zh-CN"/>
        </w:rPr>
        <w:t>1.</w:t>
      </w:r>
      <w:r>
        <w:rPr>
          <w:rFonts w:hint="eastAsia"/>
          <w:sz w:val="24"/>
          <w:szCs w:val="22"/>
          <w:highlight w:val="none"/>
          <w:lang w:val="en-US" w:eastAsia="zh-CN"/>
        </w:rPr>
        <w:t xml:space="preserve">2.1 </w:t>
      </w:r>
      <w:r>
        <w:rPr>
          <w:rFonts w:hint="eastAsia" w:ascii="宋体" w:hAnsi="宋体" w:eastAsia="宋体" w:cs="宋体"/>
          <w:color w:val="000000"/>
          <w:kern w:val="0"/>
          <w:sz w:val="22"/>
          <w:szCs w:val="22"/>
          <w:lang w:bidi="ar"/>
        </w:rPr>
        <w:t>上级亮度标准</w:t>
      </w:r>
      <w:r>
        <w:rPr>
          <w:rFonts w:hint="eastAsia" w:ascii="宋体" w:hAnsi="宋体" w:eastAsia="宋体" w:cs="宋体"/>
          <w:color w:val="000000"/>
          <w:kern w:val="0"/>
          <w:sz w:val="22"/>
          <w:szCs w:val="22"/>
          <w:lang w:val="en-US" w:eastAsia="zh-CN" w:bidi="ar"/>
        </w:rPr>
        <w:t>标定</w:t>
      </w:r>
    </w:p>
    <w:p w14:paraId="0EF0D309">
      <w:pPr>
        <w:numPr>
          <w:ilvl w:val="0"/>
          <w:numId w:val="0"/>
        </w:numPr>
        <w:ind w:leftChars="0" w:firstLine="420" w:firstLineChars="0"/>
        <w:rPr>
          <w:rFonts w:hAnsi="Cambria Math"/>
          <w:szCs w:val="22"/>
        </w:rPr>
      </w:pPr>
      <w:r>
        <w:rPr>
          <w:rFonts w:hint="eastAsia"/>
          <w:szCs w:val="22"/>
          <w:lang w:val="en-US" w:eastAsia="zh-CN"/>
        </w:rPr>
        <w:t>亮度计的校准</w:t>
      </w:r>
      <w:r>
        <w:rPr>
          <w:rFonts w:hint="eastAsia"/>
          <w:szCs w:val="22"/>
        </w:rPr>
        <w:t>不确定度</w:t>
      </w:r>
      <w:r>
        <w:rPr>
          <w:rFonts w:hint="eastAsia"/>
          <w:szCs w:val="22"/>
          <w:lang w:val="en-US" w:eastAsia="zh-CN"/>
        </w:rPr>
        <w:t>证书值</w:t>
      </w:r>
      <w:r>
        <w:rPr>
          <w:rFonts w:hint="eastAsia"/>
          <w:szCs w:val="22"/>
        </w:rPr>
        <w:t>。根据校准结果为</w:t>
      </w: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ctrlPr>
              <w:rPr>
                <w:rFonts w:ascii="Cambria Math" w:hAnsi="Cambria Math"/>
                <w:i/>
                <w:szCs w:val="22"/>
              </w:rPr>
            </m:ctrlPr>
          </m:sub>
        </m:sSub>
        <m:r>
          <m:rPr>
            <m:sty m:val="p"/>
          </m:rPr>
          <w:rPr>
            <w:rFonts w:hint="eastAsia" w:hAnsi="Cambria Math"/>
            <w:szCs w:val="22"/>
          </w:rPr>
          <m:t>=</m:t>
        </m:r>
        <m:r>
          <m:rPr>
            <m:sty m:val="p"/>
          </m:rPr>
          <w:rPr>
            <w:rFonts w:hint="default" w:ascii="Cambria Math" w:hAnsi="Cambria Math"/>
            <w:szCs w:val="22"/>
            <w:lang w:val="en-US" w:eastAsia="zh-CN"/>
          </w:rPr>
          <m:t>2</m:t>
        </m:r>
        <m:r>
          <m:rPr>
            <m:sty m:val="p"/>
          </m:rPr>
          <w:rPr>
            <w:rFonts w:hint="eastAsia" w:ascii="Cambria Math" w:hAnsi="Cambria Math"/>
            <w:szCs w:val="22"/>
            <w:lang w:val="en-US" w:eastAsia="zh-CN"/>
          </w:rPr>
          <m:t>.</m:t>
        </m:r>
        <m:r>
          <m:rPr>
            <m:sty m:val="p"/>
          </m:rPr>
          <w:rPr>
            <w:rFonts w:hint="default" w:ascii="Cambria Math" w:hAnsi="Cambria Math"/>
            <w:szCs w:val="22"/>
            <w:lang w:val="en-US" w:eastAsia="zh-CN"/>
          </w:rPr>
          <m:t>0</m:t>
        </m:r>
        <m:r>
          <m:rPr>
            <m:sty m:val="p"/>
          </m:rPr>
          <w:rPr>
            <w:rFonts w:hint="eastAsia" w:hAnsi="Cambria Math"/>
            <w:szCs w:val="22"/>
          </w:rPr>
          <m:t>%</m:t>
        </m:r>
      </m:oMath>
      <w:r>
        <w:rPr>
          <w:rFonts w:hint="eastAsia" w:hAnsi="Cambria Math"/>
          <w:szCs w:val="22"/>
        </w:rPr>
        <w:t>，</w:t>
      </w:r>
      <w:r>
        <w:rPr>
          <w:rFonts w:hint="eastAsia" w:hAnsi="Cambria Math"/>
          <w:i/>
          <w:iCs/>
          <w:szCs w:val="22"/>
        </w:rPr>
        <w:t>k</w:t>
      </w:r>
      <w:r>
        <w:rPr>
          <w:rFonts w:hint="eastAsia" w:hAnsi="Cambria Math"/>
          <w:szCs w:val="22"/>
        </w:rPr>
        <w:t>=2。相应的标准不确定度是</w:t>
      </w:r>
    </w:p>
    <w:p w14:paraId="688846B3">
      <w:pPr>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rel,1</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L</m:t>
            </m:r>
            <m:ctrlPr>
              <w:rPr>
                <w:rFonts w:ascii="Cambria Math" w:hAnsi="Cambria Math"/>
              </w:rPr>
            </m:ctrlPr>
          </m:e>
          <m:sub>
            <m:r>
              <m:rPr>
                <m:sty m:val="p"/>
              </m:rPr>
              <w:rPr>
                <w:rFonts w:hint="default" w:ascii="Cambria Math" w:hAnsi="Cambria Math"/>
                <w:lang w:val="en-US" w:eastAsia="zh-CN"/>
              </w:rPr>
              <m:t>0</m:t>
            </m:r>
            <m:ctrlPr>
              <w:rPr>
                <w:rFonts w:ascii="Cambria Math" w:hAnsi="Cambria Math"/>
              </w:rPr>
            </m:ctrlPr>
          </m:sub>
        </m:sSub>
        <m:r>
          <m:rPr/>
          <w:rPr>
            <w:rFonts w:ascii="Cambria Math" w:hAnsi="Cambria Math"/>
            <w:szCs w:val="22"/>
          </w:rPr>
          <m:t>)=</m:t>
        </m:r>
        <m:r>
          <m:rPr/>
          <w:rPr>
            <w:rFonts w:hint="default" w:ascii="Cambria Math" w:hAnsi="Cambria Math"/>
            <w:szCs w:val="22"/>
            <w:lang w:val="en-US" w:eastAsia="zh-CN"/>
          </w:rPr>
          <m:t>1</m:t>
        </m:r>
        <m:r>
          <m:rPr/>
          <w:rPr>
            <w:rFonts w:hint="eastAsia" w:ascii="Cambria Math" w:hAnsi="Cambria Math"/>
            <w:szCs w:val="22"/>
            <w:lang w:val="en-US" w:eastAsia="zh-CN"/>
          </w:rPr>
          <m:t>.</m:t>
        </m:r>
        <m:r>
          <m:rPr/>
          <w:rPr>
            <w:rFonts w:hint="default" w:ascii="Cambria Math" w:hAnsi="Cambria Math"/>
            <w:szCs w:val="22"/>
            <w:lang w:val="en-US" w:eastAsia="zh-CN"/>
          </w:rPr>
          <m:t>0</m:t>
        </m:r>
        <m:r>
          <m:rPr/>
          <w:rPr>
            <w:rFonts w:ascii="Cambria Math" w:hAnsi="Cambria Math"/>
            <w:szCs w:val="22"/>
          </w:rPr>
          <m:t>%</m:t>
        </m:r>
      </m:oMath>
      <w:r>
        <w:rPr>
          <w:rFonts w:hint="eastAsia" w:hAnsi="Cambria Math"/>
          <w:szCs w:val="22"/>
        </w:rPr>
        <w:t>，B类方法评定。</w:t>
      </w:r>
    </w:p>
    <w:p w14:paraId="3CEB071C">
      <w:pPr>
        <w:rPr>
          <w:rFonts w:hint="eastAsia" w:ascii="宋体" w:hAnsi="宋体" w:eastAsia="宋体" w:cs="宋体"/>
          <w:color w:val="000000"/>
          <w:kern w:val="0"/>
          <w:sz w:val="22"/>
          <w:szCs w:val="22"/>
          <w:lang w:bidi="ar"/>
        </w:rPr>
      </w:pPr>
      <w:r>
        <w:rPr>
          <w:rFonts w:hint="eastAsia"/>
          <w:sz w:val="24"/>
          <w:szCs w:val="22"/>
          <w:highlight w:val="none"/>
          <w:lang w:val="en-US" w:eastAsia="zh-CN"/>
        </w:rPr>
        <w:t>B.</w:t>
      </w:r>
      <w:r>
        <w:rPr>
          <w:rFonts w:hint="eastAsia"/>
          <w:lang w:val="en-US" w:eastAsia="zh-CN"/>
        </w:rPr>
        <w:t>1.</w:t>
      </w:r>
      <w:r>
        <w:rPr>
          <w:rFonts w:hint="eastAsia"/>
          <w:sz w:val="24"/>
          <w:szCs w:val="22"/>
          <w:highlight w:val="none"/>
          <w:lang w:val="en-US" w:eastAsia="zh-CN"/>
        </w:rPr>
        <w:t xml:space="preserve">2.2 </w:t>
      </w:r>
      <w:r>
        <w:rPr>
          <w:rFonts w:hint="eastAsia" w:ascii="宋体" w:hAnsi="宋体" w:eastAsia="宋体" w:cs="宋体"/>
          <w:color w:val="000000"/>
          <w:kern w:val="0"/>
          <w:sz w:val="22"/>
          <w:szCs w:val="22"/>
          <w:lang w:bidi="ar"/>
        </w:rPr>
        <w:t>亮度计分辨力</w:t>
      </w:r>
    </w:p>
    <w:p w14:paraId="6ECEB863">
      <w:pPr>
        <w:numPr>
          <w:ilvl w:val="0"/>
          <w:numId w:val="0"/>
        </w:numPr>
        <w:ind w:leftChars="0" w:firstLine="420" w:firstLineChars="0"/>
        <w:rPr>
          <w:rFonts w:hint="eastAsia" w:ascii="宋体" w:hAnsi="宋体" w:eastAsia="宋体" w:cs="宋体"/>
          <w:color w:val="000000"/>
          <w:kern w:val="0"/>
          <w:sz w:val="22"/>
          <w:szCs w:val="22"/>
          <w:lang w:val="en-US" w:eastAsia="zh-CN" w:bidi="ar"/>
        </w:rPr>
      </w:pPr>
      <w:r>
        <w:rPr>
          <w:rFonts w:hint="eastAsia"/>
          <w:szCs w:val="22"/>
          <w:lang w:val="en-US" w:eastAsia="zh-CN"/>
        </w:rPr>
        <w:t>对于当前测量，亮度计的读数分辨力引入的不确定度。当前测量亮度读数是1848.0 cd/m</w:t>
      </w:r>
      <w:r>
        <w:rPr>
          <w:rFonts w:hint="eastAsia"/>
          <w:szCs w:val="22"/>
          <w:vertAlign w:val="superscript"/>
          <w:lang w:val="en-US" w:eastAsia="zh-CN"/>
        </w:rPr>
        <w:t>2</w:t>
      </w:r>
      <w:r>
        <w:rPr>
          <w:rFonts w:hint="eastAsia"/>
          <w:szCs w:val="22"/>
          <w:lang w:val="en-US" w:eastAsia="zh-CN"/>
        </w:rPr>
        <w:t>，五位有效数字。假设测量值的分布为均匀分布，则亮度计分辨力引</w:t>
      </w:r>
      <w:r>
        <w:rPr>
          <w:rFonts w:hint="eastAsia" w:ascii="宋体" w:hAnsi="宋体" w:eastAsia="宋体" w:cs="宋体"/>
          <w:color w:val="000000"/>
          <w:kern w:val="0"/>
          <w:sz w:val="22"/>
          <w:szCs w:val="22"/>
          <w:lang w:val="en-US" w:eastAsia="zh-CN" w:bidi="ar"/>
        </w:rPr>
        <w:t>入的不确定度分量是</w:t>
      </w:r>
    </w:p>
    <w:p w14:paraId="5E79AF6E">
      <w:pPr>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r>
              <m:rPr>
                <m:sty m:val="p"/>
              </m:rPr>
              <w:rPr>
                <w:rFonts w:hint="default" w:ascii="Cambria Math" w:hAnsi="Cambria Math"/>
                <w:szCs w:val="22"/>
                <w:lang w:val="en-US" w:eastAsia="zh-CN"/>
              </w:rPr>
              <m:t>2</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L</m:t>
            </m:r>
            <m:ctrlPr>
              <w:rPr>
                <w:rFonts w:ascii="Cambria Math" w:hAnsi="Cambria Math"/>
              </w:rPr>
            </m:ctrlPr>
          </m:e>
          <m:sub>
            <m:r>
              <m:rPr>
                <m:sty m:val="p"/>
              </m:rPr>
              <w:rPr>
                <w:rFonts w:hint="default" w:ascii="Cambria Math" w:hAnsi="Cambria Math"/>
                <w:lang w:val="en-US" w:eastAsia="zh-CN"/>
              </w:rPr>
              <m:t>0</m:t>
            </m:r>
            <m:ctrlPr>
              <w:rPr>
                <w:rFonts w:ascii="Cambria Math" w:hAnsi="Cambria Math"/>
              </w:rPr>
            </m:ctrlPr>
          </m:sub>
        </m:sSub>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1</m:t>
            </m:r>
            <m:ctrlPr>
              <w:rPr>
                <w:rFonts w:ascii="Cambria Math" w:hAnsi="Cambria Math"/>
                <w:i/>
                <w:szCs w:val="22"/>
              </w:rPr>
            </m:ctrlPr>
          </m:num>
          <m:den>
            <m:r>
              <m:rPr>
                <m:sty m:val="p"/>
              </m:rPr>
              <w:rPr>
                <w:rFonts w:hint="eastAsia"/>
                <w:szCs w:val="22"/>
                <w:lang w:val="en-US" w:eastAsia="zh-CN"/>
              </w:rPr>
              <m:t>1848.0</m:t>
            </m:r>
            <m:ctrlPr>
              <w:rPr>
                <w:rFonts w:ascii="Cambria Math" w:hAnsi="Cambria Math"/>
                <w:i/>
                <w:szCs w:val="22"/>
              </w:rPr>
            </m:ctrlPr>
          </m:den>
        </m:f>
        <m:r>
          <m:rPr/>
          <w:rPr>
            <w:rFonts w:hint="default" w:ascii="Cambria Math" w:hAnsi="Cambria Math" w:cs="Cambria Math"/>
            <w:szCs w:val="22"/>
          </w:rPr>
          <m:t>×</m:t>
        </m:r>
        <m:f>
          <m:fPr>
            <m:ctrlPr>
              <w:rPr>
                <w:rFonts w:hint="default" w:ascii="Cambria Math" w:hAnsi="Cambria Math" w:cs="Cambria Math"/>
                <w:i/>
                <w:szCs w:val="22"/>
              </w:rPr>
            </m:ctrlPr>
          </m:fPr>
          <m:num>
            <m:r>
              <m:rPr/>
              <w:rPr>
                <w:rFonts w:hint="default" w:ascii="Cambria Math" w:hAnsi="Cambria Math" w:cs="Cambria Math"/>
                <w:szCs w:val="22"/>
                <w:lang w:val="en-US" w:eastAsia="zh-CN"/>
              </w:rPr>
              <m:t>1</m:t>
            </m:r>
            <m:ctrlPr>
              <w:rPr>
                <w:rFonts w:hint="default" w:ascii="Cambria Math" w:hAnsi="Cambria Math" w:cs="Cambria Math"/>
                <w:i/>
                <w:szCs w:val="22"/>
              </w:rPr>
            </m:ctrlPr>
          </m:num>
          <m:den>
            <m:r>
              <m:rPr/>
              <w:rPr>
                <w:rFonts w:hint="default" w:ascii="Cambria Math" w:hAnsi="Cambria Math" w:cs="Cambria Math"/>
                <w:szCs w:val="22"/>
                <w:lang w:val="en-US" w:eastAsia="zh-CN"/>
              </w:rPr>
              <m:t>2</m:t>
            </m:r>
            <m:rad>
              <m:radPr>
                <m:degHide m:val="1"/>
                <m:ctrlPr>
                  <w:rPr>
                    <w:rFonts w:hint="default" w:ascii="Cambria Math" w:hAnsi="Cambria Math" w:cs="Cambria Math"/>
                    <w:i/>
                    <w:szCs w:val="22"/>
                    <w:lang w:val="en-US" w:eastAsia="zh-CN"/>
                  </w:rPr>
                </m:ctrlPr>
              </m:radPr>
              <m:deg>
                <m:ctrlPr>
                  <w:rPr>
                    <w:rFonts w:hint="default" w:ascii="Cambria Math" w:hAnsi="Cambria Math" w:cs="Cambria Math"/>
                    <w:i/>
                    <w:szCs w:val="22"/>
                    <w:lang w:val="en-US" w:eastAsia="zh-CN"/>
                  </w:rPr>
                </m:ctrlPr>
              </m:deg>
              <m:e>
                <m:r>
                  <m:rPr/>
                  <w:rPr>
                    <w:rFonts w:hint="default" w:ascii="Cambria Math" w:hAnsi="Cambria Math" w:cs="Cambria Math"/>
                    <w:szCs w:val="22"/>
                    <w:lang w:val="en-US" w:eastAsia="zh-CN"/>
                  </w:rPr>
                  <m:t>3</m:t>
                </m:r>
                <m:ctrlPr>
                  <w:rPr>
                    <w:rFonts w:hint="default" w:ascii="Cambria Math" w:hAnsi="Cambria Math" w:cs="Cambria Math"/>
                    <w:i/>
                    <w:szCs w:val="22"/>
                    <w:lang w:val="en-US" w:eastAsia="zh-CN"/>
                  </w:rPr>
                </m:ctrlPr>
              </m:e>
            </m:rad>
            <m:ctrlPr>
              <w:rPr>
                <w:rFonts w:hint="default" w:ascii="Cambria Math" w:hAnsi="Cambria Math" w:cs="Cambria Math"/>
                <w:i/>
                <w:szCs w:val="22"/>
              </w:rPr>
            </m:ctrlPr>
          </m:den>
        </m:f>
        <m:r>
          <m:rPr>
            <m:sty m:val="p"/>
          </m:rPr>
          <w:rPr>
            <w:rFonts w:hint="default" w:ascii="Cambria Math" w:hAnsi="Cambria Math" w:cs="Cambria Math"/>
            <w:szCs w:val="22"/>
          </w:rPr>
          <m:t>≈</m:t>
        </m:r>
        <m:r>
          <m:rPr>
            <m:sty m:val="p"/>
          </m:rPr>
          <w:rPr>
            <w:rFonts w:hint="default" w:ascii="Cambria Math" w:hAnsi="Cambria Math" w:cs="Cambria Math"/>
            <w:szCs w:val="22"/>
            <w:lang w:val="en-US" w:eastAsia="zh-CN"/>
          </w:rPr>
          <m:t>0</m:t>
        </m:r>
      </m:oMath>
      <w:r>
        <w:rPr>
          <w:rFonts w:hint="eastAsia" w:hAnsi="Cambria Math" w:cs="Cambria Math"/>
          <w:i w:val="0"/>
          <w:iCs/>
          <w:szCs w:val="22"/>
          <w:lang w:val="en-US" w:eastAsia="zh-CN"/>
        </w:rPr>
        <w:t>.002%</w:t>
      </w:r>
      <w:r>
        <w:rPr>
          <w:rFonts w:hint="eastAsia" w:hAnsi="Cambria Math"/>
          <w:szCs w:val="22"/>
        </w:rPr>
        <w:t>，B类方法评定。</w:t>
      </w:r>
    </w:p>
    <w:p w14:paraId="7C57DC5B">
      <w:pPr>
        <w:rPr>
          <w:rFonts w:hint="eastAsia" w:ascii="宋体" w:hAnsi="宋体" w:eastAsia="宋体" w:cs="宋体"/>
          <w:color w:val="000000"/>
          <w:kern w:val="0"/>
          <w:sz w:val="22"/>
          <w:szCs w:val="22"/>
          <w:lang w:bidi="ar"/>
        </w:rPr>
      </w:pPr>
      <w:r>
        <w:rPr>
          <w:rFonts w:hint="eastAsia"/>
          <w:sz w:val="24"/>
          <w:szCs w:val="22"/>
          <w:highlight w:val="none"/>
          <w:lang w:val="en-US" w:eastAsia="zh-CN"/>
        </w:rPr>
        <w:t>B.</w:t>
      </w:r>
      <w:r>
        <w:rPr>
          <w:rFonts w:hint="eastAsia"/>
          <w:lang w:val="en-US" w:eastAsia="zh-CN"/>
        </w:rPr>
        <w:t>1.</w:t>
      </w:r>
      <w:r>
        <w:rPr>
          <w:rFonts w:hint="eastAsia"/>
          <w:sz w:val="24"/>
          <w:szCs w:val="22"/>
          <w:highlight w:val="none"/>
          <w:lang w:val="en-US" w:eastAsia="zh-CN"/>
        </w:rPr>
        <w:t xml:space="preserve">2.3 </w:t>
      </w:r>
      <w:r>
        <w:rPr>
          <w:rFonts w:hint="eastAsia" w:ascii="宋体" w:hAnsi="宋体" w:eastAsia="宋体" w:cs="宋体"/>
          <w:color w:val="000000"/>
          <w:kern w:val="0"/>
          <w:sz w:val="22"/>
          <w:szCs w:val="22"/>
          <w:lang w:bidi="ar"/>
        </w:rPr>
        <w:t>测量重复性</w:t>
      </w:r>
    </w:p>
    <w:p w14:paraId="5C36BCDD">
      <w:pPr>
        <w:ind w:firstLine="420" w:firstLineChars="0"/>
        <w:rPr>
          <w:rFonts w:hAnsi="Cambria Math"/>
          <w:szCs w:val="22"/>
        </w:rPr>
      </w:pPr>
      <w:r>
        <w:rPr>
          <w:rFonts w:hint="eastAsia" w:ascii="宋体" w:hAnsi="宋体" w:eastAsia="宋体" w:cs="宋体"/>
          <w:color w:val="000000"/>
          <w:kern w:val="0"/>
          <w:sz w:val="22"/>
          <w:szCs w:val="22"/>
          <w:lang w:val="en-US" w:eastAsia="zh-CN" w:bidi="ar"/>
        </w:rPr>
        <w:t>对于当前测量，采用</w:t>
      </w:r>
      <w:r>
        <w:rPr>
          <w:rFonts w:hint="eastAsia"/>
          <w:szCs w:val="22"/>
          <w:lang w:val="en-US" w:eastAsia="zh-CN"/>
        </w:rPr>
        <w:t>亮度计的连续采样10次，其读数分别是1848.1，1848.3，1847.5，1848.5，1848.0，1847.9，1847.8，1848.3，1847.9，1848.1。10次读数的平均值是1848.0。</w:t>
      </w:r>
      <w:r>
        <w:rPr>
          <w:rFonts w:hint="eastAsia" w:hAnsi="Cambria Math"/>
          <w:szCs w:val="22"/>
        </w:rPr>
        <w:t>使用贝塞尔公式计算的光通量常数平均值的相对实验室标准差，用A类方法评定</w:t>
      </w:r>
      <m:oMath>
        <m:sSub>
          <m:sSubPr>
            <m:ctrlPr>
              <w:rPr>
                <w:rFonts w:ascii="Cambria Math" w:hAnsi="Cambria Math"/>
              </w:rPr>
            </m:ctrlPr>
          </m:sSubPr>
          <m:e>
            <m:r>
              <m:rPr/>
              <w:rPr>
                <w:rFonts w:hint="default" w:ascii="Cambria Math" w:hAnsi="Cambria Math"/>
                <w:lang w:val="en-US" w:eastAsia="zh-CN"/>
              </w:rPr>
              <m:t>L</m:t>
            </m:r>
            <m:ctrlPr>
              <w:rPr>
                <w:rFonts w:ascii="Cambria Math" w:hAnsi="Cambria Math"/>
              </w:rPr>
            </m:ctrlPr>
          </m:e>
          <m:sub>
            <m:r>
              <m:rPr>
                <m:sty m:val="p"/>
              </m:rPr>
              <w:rPr>
                <w:rFonts w:hint="eastAsia" w:ascii="Cambria Math" w:hAnsi="Cambria Math"/>
                <w:lang w:val="en-US" w:eastAsia="zh-CN"/>
              </w:rPr>
              <m:t>r</m:t>
            </m:r>
            <m:ctrlPr>
              <w:rPr>
                <w:rFonts w:ascii="Cambria Math" w:hAnsi="Cambria Math"/>
              </w:rPr>
            </m:ctrlPr>
          </m:sub>
        </m:sSub>
      </m:oMath>
      <w:r>
        <w:rPr>
          <w:rFonts w:hint="eastAsia" w:hAnsi="Cambria Math"/>
          <w:szCs w:val="22"/>
        </w:rPr>
        <w:t>的</w:t>
      </w:r>
      <w:r>
        <w:rPr>
          <w:rFonts w:hint="eastAsia" w:hAnsi="Cambria Math"/>
          <w:szCs w:val="22"/>
          <w:lang w:val="en-US" w:eastAsia="zh-CN"/>
        </w:rPr>
        <w:t xml:space="preserve">重复性影响 </w:t>
      </w:r>
      <m:oMath>
        <m:sSub>
          <m:sSubPr>
            <m:ctrlPr>
              <w:rPr>
                <w:rFonts w:hint="eastAsia" w:ascii="Cambria Math" w:hAnsi="Cambria Math"/>
                <w:szCs w:val="22"/>
                <w:lang w:val="en-US" w:eastAsia="zh-CN"/>
              </w:rPr>
            </m:ctrlPr>
          </m:sSubPr>
          <m:e>
            <m:r>
              <m:rPr>
                <m:sty m:val="p"/>
              </m:rPr>
              <w:rPr>
                <w:rFonts w:hint="eastAsia" w:ascii="Cambria Math" w:hAnsi="Cambria Math"/>
                <w:szCs w:val="22"/>
                <w:lang w:val="en-US" w:eastAsia="zh-CN"/>
              </w:rPr>
              <m:t>u</m:t>
            </m:r>
            <m:ctrlPr>
              <w:rPr>
                <w:rFonts w:hint="eastAsia" w:ascii="Cambria Math" w:hAnsi="Cambria Math"/>
                <w:szCs w:val="22"/>
                <w:lang w:val="en-US" w:eastAsia="zh-CN"/>
              </w:rPr>
            </m:ctrlPr>
          </m:e>
          <m:sub>
            <m:r>
              <m:rPr>
                <m:sty m:val="p"/>
              </m:rPr>
              <w:rPr>
                <w:rFonts w:hint="eastAsia" w:ascii="Cambria Math" w:hAnsi="Cambria Math"/>
                <w:szCs w:val="22"/>
                <w:lang w:val="en-US" w:eastAsia="zh-CN"/>
              </w:rPr>
              <m:t>rel,</m:t>
            </m:r>
            <m:r>
              <m:rPr>
                <m:sty m:val="p"/>
              </m:rPr>
              <w:rPr>
                <w:rFonts w:hint="default" w:ascii="Cambria Math" w:hAnsi="Cambria Math"/>
                <w:szCs w:val="22"/>
                <w:lang w:val="en-US" w:eastAsia="zh-CN"/>
              </w:rPr>
              <m:t>3</m:t>
            </m:r>
            <m:ctrlPr>
              <w:rPr>
                <w:rFonts w:hint="eastAsia" w:ascii="Cambria Math" w:hAnsi="Cambria Math"/>
                <w:szCs w:val="22"/>
                <w:lang w:val="en-US" w:eastAsia="zh-CN"/>
              </w:rPr>
            </m:ctrlPr>
          </m:sub>
        </m:sSub>
      </m:oMath>
      <w:r>
        <w:rPr>
          <w:rFonts w:hint="eastAsia" w:ascii="Cambria Math" w:hAnsi="Cambria Math"/>
          <w:szCs w:val="22"/>
          <w:lang w:val="en-US" w:eastAsia="zh-CN"/>
        </w:rPr>
        <w:t xml:space="preserve"> </w:t>
      </w:r>
      <w:r>
        <w:rPr>
          <w:rFonts w:hint="eastAsia" w:hAnsi="Cambria Math"/>
          <w:szCs w:val="22"/>
        </w:rPr>
        <w:t>相对标准不确定度为</w:t>
      </w:r>
    </w:p>
    <w:p w14:paraId="0013DCF9">
      <w:pPr>
        <w:ind w:firstLine="480" w:firstLineChars="200"/>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r>
              <m:rPr>
                <m:sty m:val="p"/>
              </m:rPr>
              <w:rPr>
                <w:rFonts w:hint="default" w:ascii="Cambria Math" w:hAnsi="Cambria Math"/>
                <w:szCs w:val="22"/>
                <w:lang w:val="en-US" w:eastAsia="zh-CN"/>
              </w:rPr>
              <m:t>3</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L</m:t>
            </m:r>
            <m:ctrlPr>
              <w:rPr>
                <w:rFonts w:ascii="Cambria Math" w:hAnsi="Cambria Math"/>
              </w:rPr>
            </m:ctrlPr>
          </m:e>
          <m:sub>
            <m:r>
              <m:rPr>
                <m:sty m:val="p"/>
              </m:rPr>
              <w:rPr>
                <w:rFonts w:hint="default" w:ascii="Cambria Math" w:hAnsi="Cambria Math"/>
                <w:lang w:val="en-US" w:eastAsia="zh-CN"/>
              </w:rPr>
              <m:t>0</m:t>
            </m:r>
            <m:ctrlPr>
              <w:rPr>
                <w:rFonts w:ascii="Cambria Math" w:hAnsi="Cambria Math"/>
              </w:rPr>
            </m:ctrlPr>
          </m:sub>
        </m:sSub>
        <m:r>
          <m:rPr/>
          <w:rPr>
            <w:rFonts w:ascii="Cambria Math" w:hAnsi="Cambria Math"/>
            <w:szCs w:val="22"/>
          </w:rPr>
          <m:t>)≤0</m:t>
        </m:r>
        <m:r>
          <m:rPr/>
          <w:rPr>
            <w:rFonts w:hint="eastAsia" w:ascii="Cambria Math" w:hAnsi="Cambria Math"/>
            <w:szCs w:val="22"/>
          </w:rPr>
          <m:t>.</m:t>
        </m:r>
        <m:r>
          <m:rPr/>
          <w:rPr>
            <w:rFonts w:ascii="Cambria Math" w:hAnsi="Cambria Math"/>
            <w:szCs w:val="22"/>
          </w:rPr>
          <m:t>0</m:t>
        </m:r>
        <m:r>
          <m:rPr/>
          <w:rPr>
            <w:rFonts w:hint="default" w:ascii="Cambria Math" w:hAnsi="Cambria Math"/>
            <w:szCs w:val="22"/>
            <w:lang w:val="en-US" w:eastAsia="zh-CN"/>
          </w:rPr>
          <m:t>3</m:t>
        </m:r>
        <m:r>
          <m:rPr/>
          <w:rPr>
            <w:rFonts w:hint="eastAsia" w:ascii="Cambria Math" w:hAnsi="Cambria Math"/>
            <w:szCs w:val="22"/>
          </w:rPr>
          <m:t>%</m:t>
        </m:r>
      </m:oMath>
      <w:r>
        <w:rPr>
          <w:rFonts w:hint="eastAsia" w:hAnsi="Cambria Math"/>
          <w:szCs w:val="22"/>
        </w:rPr>
        <w:t>，</w:t>
      </w:r>
      <w:r>
        <w:rPr>
          <w:rFonts w:hint="eastAsia" w:hAnsi="Cambria Math"/>
          <w:szCs w:val="22"/>
          <w:lang w:val="en-US" w:eastAsia="zh-CN"/>
        </w:rPr>
        <w:t>A</w:t>
      </w:r>
      <w:r>
        <w:rPr>
          <w:rFonts w:hint="eastAsia" w:hAnsi="Cambria Math"/>
          <w:szCs w:val="22"/>
        </w:rPr>
        <w:t>类方法评定。</w:t>
      </w:r>
    </w:p>
    <w:p w14:paraId="7701E07B">
      <w:pPr>
        <w:rPr>
          <w:rFonts w:hint="eastAsia" w:hAnsi="Cambria Math"/>
          <w:szCs w:val="22"/>
          <w:lang w:val="en-US" w:eastAsia="zh-CN"/>
        </w:rPr>
      </w:pPr>
      <w:r>
        <w:rPr>
          <w:rFonts w:hint="eastAsia"/>
          <w:sz w:val="24"/>
          <w:szCs w:val="22"/>
          <w:highlight w:val="none"/>
          <w:lang w:val="en-US" w:eastAsia="zh-CN"/>
        </w:rPr>
        <w:t>B.</w:t>
      </w:r>
      <w:r>
        <w:rPr>
          <w:rFonts w:hint="eastAsia"/>
          <w:lang w:val="en-US" w:eastAsia="zh-CN"/>
        </w:rPr>
        <w:t>1.</w:t>
      </w:r>
      <w:r>
        <w:rPr>
          <w:rFonts w:hint="eastAsia"/>
          <w:sz w:val="24"/>
          <w:szCs w:val="22"/>
          <w:highlight w:val="none"/>
          <w:lang w:val="en-US" w:eastAsia="zh-CN"/>
        </w:rPr>
        <w:t xml:space="preserve">2.4 </w:t>
      </w:r>
      <w:r>
        <w:rPr>
          <w:rFonts w:hint="default" w:hAnsi="Cambria Math"/>
          <w:szCs w:val="22"/>
        </w:rPr>
        <w:t>LED</w:t>
      </w:r>
      <w:r>
        <w:rPr>
          <w:rFonts w:hint="eastAsia" w:hAnsi="Cambria Math"/>
          <w:szCs w:val="22"/>
          <w:lang w:val="en-US" w:eastAsia="zh-CN"/>
        </w:rPr>
        <w:t>显示屏</w:t>
      </w:r>
      <w:r>
        <w:rPr>
          <w:rFonts w:hint="default" w:hAnsi="Cambria Math"/>
          <w:szCs w:val="22"/>
        </w:rPr>
        <w:t>稳定性</w:t>
      </w:r>
      <w:r>
        <w:rPr>
          <w:rFonts w:hint="eastAsia" w:hAnsi="Cambria Math"/>
          <w:szCs w:val="22"/>
          <w:lang w:val="en-US" w:eastAsia="zh-CN"/>
        </w:rPr>
        <w:t>的影响。</w:t>
      </w:r>
    </w:p>
    <w:p w14:paraId="4519F279">
      <w:pPr>
        <w:ind w:firstLine="420" w:firstLineChars="0"/>
        <w:rPr>
          <w:rFonts w:hAnsi="Cambria Math"/>
          <w:szCs w:val="22"/>
        </w:rPr>
      </w:pPr>
      <w:r>
        <w:rPr>
          <w:rFonts w:hint="eastAsia" w:hAnsi="Cambria Math"/>
          <w:szCs w:val="22"/>
          <w:lang w:val="en-US" w:eastAsia="zh-CN"/>
        </w:rPr>
        <w:t>Mini LED显示屏</w:t>
      </w:r>
      <w:r>
        <w:rPr>
          <w:rFonts w:hint="eastAsia" w:hAnsi="Cambria Math"/>
          <w:szCs w:val="22"/>
        </w:rPr>
        <w:t>在重复点燃，</w:t>
      </w:r>
      <w:r>
        <w:rPr>
          <w:rFonts w:hint="eastAsia" w:hAnsi="Cambria Math"/>
          <w:szCs w:val="22"/>
          <w:lang w:val="en-US" w:eastAsia="zh-CN"/>
        </w:rPr>
        <w:t>受环境温度和自身重复性等因素影响，</w:t>
      </w:r>
      <w:r>
        <w:rPr>
          <w:rFonts w:hint="eastAsia" w:hAnsi="Cambria Math"/>
          <w:szCs w:val="22"/>
        </w:rPr>
        <w:t>其实际</w:t>
      </w:r>
      <w:r>
        <w:rPr>
          <w:rFonts w:hint="eastAsia" w:hAnsi="Cambria Math"/>
          <w:szCs w:val="22"/>
          <w:lang w:val="en-US" w:eastAsia="zh-CN"/>
        </w:rPr>
        <w:t>亮度</w:t>
      </w:r>
      <w:r>
        <w:rPr>
          <w:rFonts w:hint="eastAsia" w:hAnsi="Cambria Math"/>
          <w:szCs w:val="22"/>
        </w:rPr>
        <w:t>有一定起伏，根据经验，对于被测灯，其</w:t>
      </w:r>
      <w:r>
        <w:rPr>
          <w:rFonts w:hint="eastAsia" w:hAnsi="Cambria Math"/>
          <w:szCs w:val="22"/>
          <w:lang w:val="en-US" w:eastAsia="zh-CN"/>
        </w:rPr>
        <w:t>亮度</w:t>
      </w:r>
      <w:r>
        <w:rPr>
          <w:rFonts w:hint="eastAsia" w:hAnsi="Cambria Math"/>
          <w:szCs w:val="22"/>
        </w:rPr>
        <w:t>量值变化范围不超过</w:t>
      </w:r>
      <w:r>
        <w:rPr>
          <w:rFonts w:hint="eastAsia" w:hAnsi="Cambria Math"/>
          <w:szCs w:val="22"/>
          <w:lang w:val="en-US" w:eastAsia="zh-CN"/>
        </w:rPr>
        <w:t xml:space="preserve">1.8 </w:t>
      </w:r>
      <w:r>
        <w:rPr>
          <w:rFonts w:hint="eastAsia" w:hAnsi="Cambria Math"/>
          <w:szCs w:val="22"/>
        </w:rPr>
        <w:t>%</w:t>
      </w:r>
      <w:r>
        <w:rPr>
          <w:rFonts w:hint="eastAsia" w:hAnsi="Cambria Math"/>
          <w:szCs w:val="22"/>
          <w:lang w:eastAsia="zh-CN"/>
        </w:rPr>
        <w:t>。</w:t>
      </w:r>
      <w:r>
        <w:rPr>
          <w:rFonts w:hint="eastAsia" w:hAnsi="Cambria Math"/>
          <w:szCs w:val="22"/>
          <w:lang w:val="en-US" w:eastAsia="zh-CN"/>
        </w:rPr>
        <w:t>假设其亮度不影响性是</w:t>
      </w:r>
      <w:r>
        <w:rPr>
          <w:rFonts w:hint="eastAsia" w:hAnsi="Cambria Math"/>
          <w:szCs w:val="22"/>
        </w:rPr>
        <w:t>均匀分布</w:t>
      </w:r>
      <w:r>
        <w:rPr>
          <w:rFonts w:hint="eastAsia" w:hAnsi="Cambria Math"/>
          <w:szCs w:val="22"/>
          <w:lang w:eastAsia="zh-CN"/>
        </w:rPr>
        <w:t>，</w:t>
      </w:r>
      <w:r>
        <w:rPr>
          <w:rFonts w:hint="eastAsia" w:hAnsi="Cambria Math"/>
          <w:szCs w:val="22"/>
          <w:lang w:val="en-US" w:eastAsia="zh-CN"/>
        </w:rPr>
        <w:t>显示屏亮度</w:t>
      </w:r>
      <w:r>
        <w:rPr>
          <w:rFonts w:hint="eastAsia" w:hAnsi="Cambria Math"/>
          <w:szCs w:val="22"/>
        </w:rPr>
        <w:t>分散性引入的不确定度是</w:t>
      </w:r>
    </w:p>
    <w:p w14:paraId="26737C6A">
      <w:pPr>
        <w:ind w:left="420"/>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r>
              <m:rPr>
                <m:sty m:val="p"/>
              </m:rPr>
              <w:rPr>
                <w:rFonts w:hint="default" w:ascii="Cambria Math" w:hAnsi="Cambria Math"/>
                <w:szCs w:val="22"/>
                <w:lang w:val="en-US" w:eastAsia="zh-CN"/>
              </w:rPr>
              <m:t>4</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L</m:t>
            </m:r>
            <m:ctrlPr>
              <w:rPr>
                <w:rFonts w:ascii="Cambria Math" w:hAnsi="Cambria Math"/>
              </w:rPr>
            </m:ctrlPr>
          </m:e>
          <m:sub>
            <m:r>
              <m:rPr>
                <m:sty m:val="p"/>
              </m:rPr>
              <w:rPr>
                <w:rFonts w:hint="default" w:ascii="Cambria Math" w:hAnsi="Cambria Math"/>
                <w:lang w:val="en-US" w:eastAsia="zh-CN"/>
              </w:rPr>
              <m:t>0</m:t>
            </m:r>
            <m:ctrlPr>
              <w:rPr>
                <w:rFonts w:ascii="Cambria Math" w:hAnsi="Cambria Math"/>
              </w:rPr>
            </m:ctrlPr>
          </m:sub>
        </m:sSub>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1.8</m:t>
            </m:r>
            <m:r>
              <m:rPr/>
              <w:rPr>
                <w:rFonts w:hint="eastAsia" w:ascii="Cambria Math" w:hAnsi="Cambria Math"/>
                <w:szCs w:val="22"/>
              </w:rPr>
              <m:t>%</m:t>
            </m:r>
            <m:ctrlPr>
              <w:rPr>
                <w:rFonts w:ascii="Cambria Math" w:hAnsi="Cambria Math"/>
                <w:i/>
                <w:szCs w:val="22"/>
              </w:rPr>
            </m:ctrlPr>
          </m:num>
          <m:den>
            <m:r>
              <m:rPr/>
              <w:rPr>
                <w:rFonts w:ascii="Cambria Math" w:hAnsi="Cambria Math"/>
                <w:szCs w:val="22"/>
              </w:rPr>
              <m:t>2</m:t>
            </m:r>
            <m:ctrlPr>
              <w:rPr>
                <w:rFonts w:ascii="Cambria Math" w:hAnsi="Cambria Math"/>
                <w:i/>
                <w:szCs w:val="22"/>
              </w:rPr>
            </m:ctrlPr>
          </m:den>
        </m:f>
        <m:r>
          <m:rPr/>
          <w:rPr>
            <w:rFonts w:ascii="Cambria Math" w:hAnsi="Cambria Math"/>
            <w:szCs w:val="22"/>
          </w:rPr>
          <m:t>×</m:t>
        </m:r>
        <m:f>
          <m:fPr>
            <m:ctrlPr>
              <w:rPr>
                <w:rFonts w:hint="eastAsia" w:ascii="Cambria Math" w:hAnsi="Cambria Math"/>
                <w:szCs w:val="22"/>
              </w:rPr>
            </m:ctrlPr>
          </m:fPr>
          <m:num>
            <m:r>
              <m:rPr>
                <m:sty m:val="p"/>
              </m:rPr>
              <w:rPr>
                <w:rFonts w:hint="eastAsia" w:ascii="Cambria Math" w:hAnsi="Cambria Math"/>
                <w:szCs w:val="22"/>
              </w:rPr>
              <m:t>1</m:t>
            </m:r>
            <m:ctrlPr>
              <w:rPr>
                <w:rFonts w:hint="eastAsia" w:ascii="Cambria Math" w:hAnsi="Cambria Math"/>
                <w:szCs w:val="22"/>
              </w:rPr>
            </m:ctrlPr>
          </m:num>
          <m:den>
            <m:rad>
              <m:radPr>
                <m:degHide m:val="1"/>
                <m:ctrlPr>
                  <w:rPr>
                    <w:rFonts w:hint="eastAsia" w:ascii="Cambria Math" w:hAnsi="Cambria Math"/>
                    <w:szCs w:val="22"/>
                  </w:rPr>
                </m:ctrlPr>
              </m:radPr>
              <m:deg>
                <m:ctrlPr>
                  <w:rPr>
                    <w:rFonts w:hint="eastAsia" w:ascii="Cambria Math" w:hAnsi="Cambria Math"/>
                    <w:szCs w:val="22"/>
                  </w:rPr>
                </m:ctrlPr>
              </m:deg>
              <m:e>
                <m:r>
                  <m:rPr>
                    <m:sty m:val="p"/>
                  </m:rPr>
                  <w:rPr>
                    <w:rFonts w:hint="eastAsia" w:ascii="Cambria Math" w:hAnsi="Cambria Math"/>
                    <w:szCs w:val="22"/>
                  </w:rPr>
                  <m:t>3</m:t>
                </m:r>
                <m:ctrlPr>
                  <w:rPr>
                    <w:rFonts w:hint="eastAsia" w:ascii="Cambria Math" w:hAnsi="Cambria Math"/>
                    <w:szCs w:val="22"/>
                  </w:rPr>
                </m:ctrlPr>
              </m:e>
            </m:rad>
            <m:ctrlPr>
              <w:rPr>
                <w:rFonts w:hint="eastAsia" w:ascii="Cambria Math" w:hAnsi="Cambria Math"/>
                <w:szCs w:val="22"/>
              </w:rPr>
            </m:ctrlPr>
          </m:den>
        </m:f>
        <m:r>
          <m:rPr/>
          <w:rPr>
            <w:rFonts w:ascii="Cambria Math" w:hAnsi="Cambria Math"/>
            <w:szCs w:val="22"/>
          </w:rPr>
          <m:t>≈0.</m:t>
        </m:r>
        <m:r>
          <m:rPr/>
          <w:rPr>
            <w:rFonts w:hint="default" w:ascii="Cambria Math" w:hAnsi="Cambria Math"/>
            <w:szCs w:val="22"/>
            <w:lang w:val="en-US" w:eastAsia="zh-CN"/>
          </w:rPr>
          <m:t>5</m:t>
        </m:r>
        <m:r>
          <m:rPr/>
          <w:rPr>
            <w:rFonts w:ascii="Cambria Math" w:hAnsi="Cambria Math"/>
            <w:szCs w:val="22"/>
          </w:rPr>
          <m:t>%</m:t>
        </m:r>
      </m:oMath>
      <w:r>
        <w:rPr>
          <w:rFonts w:hint="eastAsia" w:hAnsi="Cambria Math"/>
          <w:szCs w:val="22"/>
        </w:rPr>
        <w:t>，B类方法评定。</w:t>
      </w:r>
    </w:p>
    <w:p w14:paraId="3D659F93">
      <w:pPr>
        <w:adjustRightInd w:val="0"/>
        <w:snapToGrid w:val="0"/>
        <w:jc w:val="both"/>
        <w:rPr>
          <w:rFonts w:hint="default" w:hAnsi="Cambria Math" w:cs="Times New Roman"/>
          <w:i w:val="0"/>
          <w:kern w:val="2"/>
          <w:sz w:val="24"/>
          <w:szCs w:val="24"/>
          <w:lang w:val="en-US" w:eastAsia="zh-CN" w:bidi="ar-SA"/>
        </w:rPr>
      </w:pPr>
      <w:r>
        <w:rPr>
          <w:rFonts w:hint="eastAsia" w:hAnsi="Cambria Math" w:cs="Times New Roman"/>
          <w:i w:val="0"/>
          <w:kern w:val="2"/>
          <w:sz w:val="24"/>
          <w:szCs w:val="24"/>
          <w:lang w:val="en-US" w:eastAsia="zh-CN" w:bidi="ar-SA"/>
        </w:rPr>
        <w:t>B.</w:t>
      </w:r>
      <w:r>
        <w:rPr>
          <w:rFonts w:hint="eastAsia"/>
          <w:lang w:val="en-US" w:eastAsia="zh-CN"/>
        </w:rPr>
        <w:t>1.</w:t>
      </w:r>
      <w:r>
        <w:rPr>
          <w:rFonts w:hint="eastAsia" w:hAnsi="Cambria Math" w:cs="Times New Roman"/>
          <w:i w:val="0"/>
          <w:kern w:val="2"/>
          <w:sz w:val="24"/>
          <w:szCs w:val="24"/>
          <w:lang w:val="en-US" w:eastAsia="zh-CN" w:bidi="ar-SA"/>
        </w:rPr>
        <w:t>3 修正系数的</w:t>
      </w:r>
      <w:r>
        <w:rPr>
          <w:rFonts w:hint="eastAsia"/>
          <w:lang w:val="en-US" w:eastAsia="zh-CN"/>
        </w:rPr>
        <w:t>不确定度分量</w:t>
      </w:r>
      <w:r>
        <w:rPr>
          <w:rFonts w:hint="eastAsia"/>
          <w:sz w:val="24"/>
          <w:szCs w:val="22"/>
          <w:highlight w:val="none"/>
          <w:lang w:val="en-US" w:eastAsia="zh-CN"/>
        </w:rPr>
        <w:t>评定</w:t>
      </w:r>
    </w:p>
    <w:p w14:paraId="40618056">
      <w:pPr>
        <w:adjustRightInd w:val="0"/>
        <w:snapToGrid w:val="0"/>
        <w:jc w:val="both"/>
        <w:rPr>
          <w:rFonts w:hint="eastAsia" w:hAnsi="Cambria Math"/>
          <w:lang w:val="en-US" w:eastAsia="zh-CN"/>
        </w:rPr>
      </w:pPr>
      <w:r>
        <w:rPr>
          <w:rFonts w:hint="eastAsia" w:hAnsi="Cambria Math" w:cs="Times New Roman"/>
          <w:i w:val="0"/>
          <w:kern w:val="2"/>
          <w:sz w:val="24"/>
          <w:szCs w:val="24"/>
          <w:lang w:val="en-US" w:eastAsia="zh-CN" w:bidi="ar-SA"/>
        </w:rPr>
        <w:t>B.</w:t>
      </w:r>
      <w:r>
        <w:rPr>
          <w:rFonts w:hint="eastAsia"/>
          <w:lang w:val="en-US" w:eastAsia="zh-CN"/>
        </w:rPr>
        <w:t>1.</w:t>
      </w:r>
      <w:r>
        <w:rPr>
          <w:rFonts w:hint="eastAsia" w:hAnsi="Cambria Math" w:cs="Times New Roman"/>
          <w:i w:val="0"/>
          <w:kern w:val="2"/>
          <w:sz w:val="24"/>
          <w:szCs w:val="24"/>
          <w:lang w:val="en-US" w:eastAsia="zh-CN" w:bidi="ar-SA"/>
        </w:rPr>
        <w:t xml:space="preserve">3.1 </w:t>
      </w:r>
      <w:r>
        <w:rPr>
          <w:rFonts w:hint="eastAsia" w:hAnsi="Cambria Math"/>
          <w:lang w:val="en-US" w:eastAsia="zh-CN"/>
        </w:rPr>
        <w:t>亮度计的非线性</w:t>
      </w:r>
    </w:p>
    <w:p w14:paraId="67530C52">
      <w:pPr>
        <w:adjustRightInd w:val="0"/>
        <w:snapToGrid w:val="0"/>
        <w:ind w:firstLine="420" w:firstLineChars="0"/>
        <w:jc w:val="both"/>
        <w:rPr>
          <w:rFonts w:hint="eastAsia" w:hAnsi="Cambria Math"/>
          <w:lang w:val="en-US" w:eastAsia="zh-CN"/>
        </w:rPr>
      </w:pPr>
      <w:r>
        <w:rPr>
          <w:rFonts w:hint="eastAsia" w:hAnsi="Cambria Math"/>
          <w:lang w:val="en-US" w:eastAsia="zh-CN"/>
        </w:rPr>
        <w:t>亮度计由于感光单元的特性，存在较显著的非线性效应。尽管亮度计在仪器设计上已进行非线性修正，但由于不同光谱区域的非线性特性差异等因素，无法彻底消除非线性的影响。根据经验，非线性的偏差不大于±0.2%，非线性引入的不确定度分量是</w:t>
      </w:r>
    </w:p>
    <w:p w14:paraId="1260D487">
      <w:pPr>
        <w:ind w:left="420"/>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r>
              <m:rPr>
                <m:sty m:val="p"/>
              </m:rPr>
              <w:rPr>
                <w:rFonts w:hint="default" w:ascii="Cambria Math" w:hAnsi="Cambria Math"/>
                <w:szCs w:val="22"/>
                <w:lang w:val="en-US" w:eastAsia="zh-CN"/>
              </w:rPr>
              <m:t>5</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c</m:t>
            </m:r>
            <m:ctrlPr>
              <w:rPr>
                <w:rFonts w:ascii="Cambria Math" w:hAnsi="Cambria Math"/>
              </w:rPr>
            </m:ctrlPr>
          </m:e>
          <m:sub>
            <m:r>
              <m:rPr>
                <m:sty m:val="p"/>
              </m:rPr>
              <w:rPr>
                <w:rFonts w:hint="default" w:ascii="Cambria Math" w:hAnsi="Cambria Math"/>
                <w:lang w:val="en-US" w:eastAsia="zh-CN"/>
              </w:rPr>
              <m:t>1</m:t>
            </m:r>
            <m:ctrlPr>
              <w:rPr>
                <w:rFonts w:ascii="Cambria Math" w:hAnsi="Cambria Math"/>
              </w:rPr>
            </m:ctrlPr>
          </m:sub>
        </m:sSub>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0.2</m:t>
            </m:r>
            <m:r>
              <m:rPr/>
              <w:rPr>
                <w:rFonts w:hint="eastAsia" w:ascii="Cambria Math" w:hAnsi="Cambria Math"/>
                <w:szCs w:val="22"/>
              </w:rPr>
              <m:t>%</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hint="default" w:ascii="Cambria Math" w:hAnsi="Cambria Math"/>
                    <w:szCs w:val="22"/>
                    <w:lang w:val="en-US" w:eastAsia="zh-CN"/>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≈0.</m:t>
        </m:r>
        <m:r>
          <m:rPr/>
          <w:rPr>
            <w:rFonts w:hint="default" w:ascii="Cambria Math" w:hAnsi="Cambria Math"/>
            <w:szCs w:val="22"/>
            <w:lang w:val="en-US" w:eastAsia="zh-CN"/>
          </w:rPr>
          <m:t>1</m:t>
        </m:r>
        <m:r>
          <m:rPr/>
          <w:rPr>
            <w:rFonts w:ascii="Cambria Math" w:hAnsi="Cambria Math"/>
            <w:szCs w:val="22"/>
          </w:rPr>
          <m:t>%</m:t>
        </m:r>
      </m:oMath>
      <w:r>
        <w:rPr>
          <w:rFonts w:hint="eastAsia" w:hAnsi="Cambria Math"/>
          <w:szCs w:val="22"/>
        </w:rPr>
        <w:t>，B类方法评定。</w:t>
      </w:r>
    </w:p>
    <w:p w14:paraId="2ACD1040">
      <w:pPr>
        <w:adjustRightInd w:val="0"/>
        <w:snapToGrid w:val="0"/>
        <w:jc w:val="both"/>
        <w:rPr>
          <w:rFonts w:hint="eastAsia" w:hAnsi="Cambria Math"/>
          <w:lang w:val="en-US" w:eastAsia="zh-CN"/>
        </w:rPr>
      </w:pPr>
      <w:r>
        <w:rPr>
          <w:rFonts w:hint="eastAsia" w:hAnsi="Cambria Math" w:cs="Times New Roman"/>
          <w:i w:val="0"/>
          <w:kern w:val="2"/>
          <w:sz w:val="24"/>
          <w:szCs w:val="24"/>
          <w:lang w:val="en-US" w:eastAsia="zh-CN" w:bidi="ar-SA"/>
        </w:rPr>
        <w:t>B.</w:t>
      </w:r>
      <w:r>
        <w:rPr>
          <w:rFonts w:hint="eastAsia"/>
          <w:lang w:val="en-US" w:eastAsia="zh-CN"/>
        </w:rPr>
        <w:t>1.</w:t>
      </w:r>
      <w:r>
        <w:rPr>
          <w:rFonts w:hint="eastAsia" w:hAnsi="Cambria Math" w:cs="Times New Roman"/>
          <w:i w:val="0"/>
          <w:kern w:val="2"/>
          <w:sz w:val="24"/>
          <w:szCs w:val="24"/>
          <w:lang w:val="en-US" w:eastAsia="zh-CN" w:bidi="ar-SA"/>
        </w:rPr>
        <w:t xml:space="preserve">3.2 </w:t>
      </w:r>
      <w:r>
        <w:rPr>
          <w:rFonts w:hint="eastAsia" w:hAnsi="Cambria Math"/>
          <w:lang w:val="en-US" w:eastAsia="zh-CN"/>
        </w:rPr>
        <w:t>内部杂散光</w:t>
      </w:r>
    </w:p>
    <w:p w14:paraId="5692B8F5">
      <w:pPr>
        <w:adjustRightInd w:val="0"/>
        <w:snapToGrid w:val="0"/>
        <w:ind w:firstLine="420" w:firstLineChars="0"/>
        <w:jc w:val="both"/>
        <w:rPr>
          <w:rFonts w:hint="eastAsia" w:hAnsi="Cambria Math"/>
          <w:lang w:val="en-US" w:eastAsia="zh-CN"/>
        </w:rPr>
      </w:pPr>
      <w:r>
        <w:rPr>
          <w:rFonts w:hint="eastAsia" w:hAnsi="Cambria Math"/>
          <w:lang w:val="en-US" w:eastAsia="zh-CN"/>
        </w:rPr>
        <w:t>对于感光单元是阵列式的亮度计，因光栅特性、内部散射和荧光效应，存在内部杂散光，即非目标波长的光线投射到感光单元上。根据经验，内部杂散光的对结果的偏差不大于±0.5%，假设均匀分布，其内部杂散光引入的不确定度分量是</w:t>
      </w:r>
    </w:p>
    <w:p w14:paraId="6A0C31E5">
      <w:pPr>
        <w:ind w:left="420"/>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r>
              <m:rPr>
                <m:sty m:val="p"/>
              </m:rPr>
              <w:rPr>
                <w:rFonts w:hint="default" w:ascii="Cambria Math" w:hAnsi="Cambria Math"/>
                <w:szCs w:val="22"/>
                <w:lang w:val="en-US" w:eastAsia="zh-CN"/>
              </w:rPr>
              <m:t>6</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c</m:t>
            </m:r>
            <m:ctrlPr>
              <w:rPr>
                <w:rFonts w:ascii="Cambria Math" w:hAnsi="Cambria Math"/>
              </w:rPr>
            </m:ctrlPr>
          </m:e>
          <m:sub>
            <m:r>
              <m:rPr>
                <m:sty m:val="p"/>
              </m:rPr>
              <w:rPr>
                <w:rFonts w:hint="default" w:ascii="Cambria Math" w:hAnsi="Cambria Math"/>
                <w:lang w:val="en-US" w:eastAsia="zh-CN"/>
              </w:rPr>
              <m:t>2</m:t>
            </m:r>
            <m:ctrlPr>
              <w:rPr>
                <w:rFonts w:ascii="Cambria Math" w:hAnsi="Cambria Math"/>
              </w:rPr>
            </m:ctrlPr>
          </m:sub>
        </m:sSub>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0.5</m:t>
            </m:r>
            <m:r>
              <m:rPr/>
              <w:rPr>
                <w:rFonts w:hint="eastAsia" w:ascii="Cambria Math" w:hAnsi="Cambria Math"/>
                <w:szCs w:val="22"/>
              </w:rPr>
              <m:t>%</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hint="default" w:ascii="Cambria Math" w:hAnsi="Cambria Math"/>
                    <w:szCs w:val="22"/>
                    <w:lang w:val="en-US" w:eastAsia="zh-CN"/>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≈0.</m:t>
        </m:r>
        <m:r>
          <m:rPr/>
          <w:rPr>
            <w:rFonts w:hint="default" w:ascii="Cambria Math" w:hAnsi="Cambria Math"/>
            <w:szCs w:val="22"/>
            <w:lang w:val="en-US" w:eastAsia="zh-CN"/>
          </w:rPr>
          <m:t>3</m:t>
        </m:r>
        <m:r>
          <m:rPr/>
          <w:rPr>
            <w:rFonts w:ascii="Cambria Math" w:hAnsi="Cambria Math"/>
            <w:szCs w:val="22"/>
          </w:rPr>
          <m:t>%</m:t>
        </m:r>
      </m:oMath>
      <w:r>
        <w:rPr>
          <w:rFonts w:hint="eastAsia" w:hAnsi="Cambria Math"/>
          <w:szCs w:val="22"/>
        </w:rPr>
        <w:t>，B类方法评定。</w:t>
      </w:r>
    </w:p>
    <w:p w14:paraId="224D0620">
      <w:pPr>
        <w:adjustRightInd w:val="0"/>
        <w:snapToGrid w:val="0"/>
        <w:jc w:val="both"/>
        <w:rPr>
          <w:rFonts w:hint="default" w:hAnsi="Cambria Math"/>
          <w:lang w:val="en-US" w:eastAsia="zh-CN"/>
        </w:rPr>
      </w:pPr>
      <w:r>
        <w:rPr>
          <w:rFonts w:hint="eastAsia" w:hAnsi="Cambria Math" w:cs="Times New Roman"/>
          <w:i w:val="0"/>
          <w:kern w:val="2"/>
          <w:sz w:val="24"/>
          <w:szCs w:val="24"/>
          <w:lang w:val="en-US" w:eastAsia="zh-CN" w:bidi="ar-SA"/>
        </w:rPr>
        <w:t>B.</w:t>
      </w:r>
      <w:r>
        <w:rPr>
          <w:rFonts w:hint="eastAsia"/>
          <w:lang w:val="en-US" w:eastAsia="zh-CN"/>
        </w:rPr>
        <w:t>1.</w:t>
      </w:r>
      <w:r>
        <w:rPr>
          <w:rFonts w:hint="eastAsia" w:hAnsi="Cambria Math" w:cs="Times New Roman"/>
          <w:i w:val="0"/>
          <w:kern w:val="2"/>
          <w:sz w:val="24"/>
          <w:szCs w:val="24"/>
          <w:lang w:val="en-US" w:eastAsia="zh-CN" w:bidi="ar-SA"/>
        </w:rPr>
        <w:t xml:space="preserve">3.3 </w:t>
      </w:r>
      <w:r>
        <w:rPr>
          <w:rFonts w:hint="eastAsia" w:hAnsi="Cambria Math"/>
          <w:lang w:val="en-US" w:eastAsia="zh-CN"/>
        </w:rPr>
        <w:t>测量距离</w:t>
      </w:r>
    </w:p>
    <w:p w14:paraId="20644AC0">
      <w:pPr>
        <w:adjustRightInd w:val="0"/>
        <w:snapToGrid w:val="0"/>
        <w:ind w:firstLine="420" w:firstLineChars="0"/>
        <w:jc w:val="both"/>
        <w:rPr>
          <w:rFonts w:hint="default" w:hAnsi="Cambria Math"/>
          <w:lang w:val="en-US" w:eastAsia="zh-CN"/>
        </w:rPr>
      </w:pPr>
      <w:r>
        <w:rPr>
          <w:rFonts w:hint="eastAsia" w:hAnsi="Cambria Math"/>
          <w:lang w:val="en-US" w:eastAsia="zh-CN"/>
        </w:rPr>
        <w:t>亮度计的感光单元前有成像光路，因透镜质量，亮度测量值受测量距离（亮度计到显示屏的距离）影响。测量使用的亮度计的定标距离是500 mm，而本次测量使用的测量距离是1500 mm，根据经验，测量距离对结果的偏差不大于±0.5%，测量距离引入的不确定度分量是</w:t>
      </w:r>
    </w:p>
    <w:p w14:paraId="0015784C">
      <w:pPr>
        <w:ind w:left="420"/>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r>
              <m:rPr>
                <m:sty m:val="p"/>
              </m:rPr>
              <w:rPr>
                <w:rFonts w:hint="default" w:ascii="Cambria Math" w:hAnsi="Cambria Math"/>
                <w:szCs w:val="22"/>
                <w:lang w:val="en-US" w:eastAsia="zh-CN"/>
              </w:rPr>
              <m:t>7</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c</m:t>
            </m:r>
            <m:ctrlPr>
              <w:rPr>
                <w:rFonts w:ascii="Cambria Math" w:hAnsi="Cambria Math"/>
              </w:rPr>
            </m:ctrlPr>
          </m:e>
          <m:sub>
            <m:r>
              <m:rPr>
                <m:sty m:val="p"/>
              </m:rPr>
              <w:rPr>
                <w:rFonts w:hint="default" w:ascii="Cambria Math" w:hAnsi="Cambria Math"/>
                <w:lang w:val="en-US" w:eastAsia="zh-CN"/>
              </w:rPr>
              <m:t>3</m:t>
            </m:r>
            <m:ctrlPr>
              <w:rPr>
                <w:rFonts w:ascii="Cambria Math" w:hAnsi="Cambria Math"/>
              </w:rPr>
            </m:ctrlPr>
          </m:sub>
        </m:sSub>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0.5</m:t>
            </m:r>
            <m:r>
              <m:rPr/>
              <w:rPr>
                <w:rFonts w:hint="eastAsia" w:ascii="Cambria Math" w:hAnsi="Cambria Math"/>
                <w:szCs w:val="22"/>
              </w:rPr>
              <m:t>%</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hint="default" w:ascii="Cambria Math" w:hAnsi="Cambria Math"/>
                    <w:szCs w:val="22"/>
                    <w:lang w:val="en-US" w:eastAsia="zh-CN"/>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≈0.</m:t>
        </m:r>
        <m:r>
          <m:rPr/>
          <w:rPr>
            <w:rFonts w:hint="default" w:ascii="Cambria Math" w:hAnsi="Cambria Math"/>
            <w:szCs w:val="22"/>
            <w:lang w:val="en-US" w:eastAsia="zh-CN"/>
          </w:rPr>
          <m:t>3</m:t>
        </m:r>
        <m:r>
          <m:rPr/>
          <w:rPr>
            <w:rFonts w:ascii="Cambria Math" w:hAnsi="Cambria Math"/>
            <w:szCs w:val="22"/>
          </w:rPr>
          <m:t>%</m:t>
        </m:r>
      </m:oMath>
      <w:r>
        <w:rPr>
          <w:rFonts w:hint="eastAsia" w:hAnsi="Cambria Math"/>
          <w:szCs w:val="22"/>
        </w:rPr>
        <w:t>，B类方法评定。</w:t>
      </w:r>
    </w:p>
    <w:p w14:paraId="0A74AC56">
      <w:pPr>
        <w:adjustRightInd w:val="0"/>
        <w:snapToGrid w:val="0"/>
        <w:jc w:val="both"/>
        <w:rPr>
          <w:rFonts w:hint="eastAsia" w:hAnsi="Cambria Math"/>
          <w:lang w:val="en-US" w:eastAsia="zh-CN"/>
        </w:rPr>
      </w:pPr>
      <w:r>
        <w:rPr>
          <w:rFonts w:hint="eastAsia" w:hAnsi="Cambria Math" w:cs="Times New Roman"/>
          <w:i w:val="0"/>
          <w:kern w:val="2"/>
          <w:sz w:val="24"/>
          <w:szCs w:val="24"/>
          <w:lang w:val="en-US" w:eastAsia="zh-CN" w:bidi="ar-SA"/>
        </w:rPr>
        <w:t>B.</w:t>
      </w:r>
      <w:r>
        <w:rPr>
          <w:rFonts w:hint="eastAsia"/>
          <w:lang w:val="en-US" w:eastAsia="zh-CN"/>
        </w:rPr>
        <w:t>1.</w:t>
      </w:r>
      <w:r>
        <w:rPr>
          <w:rFonts w:hint="eastAsia" w:hAnsi="Cambria Math" w:cs="Times New Roman"/>
          <w:i w:val="0"/>
          <w:kern w:val="2"/>
          <w:sz w:val="24"/>
          <w:szCs w:val="24"/>
          <w:lang w:val="en-US" w:eastAsia="zh-CN" w:bidi="ar-SA"/>
        </w:rPr>
        <w:t>3.4 显示屏像素点间距影响</w:t>
      </w:r>
    </w:p>
    <w:p w14:paraId="61824D5D">
      <w:pPr>
        <w:pStyle w:val="3"/>
        <w:rPr>
          <w:rFonts w:hint="default" w:eastAsiaTheme="minorEastAsia"/>
          <w:lang w:val="en-US" w:eastAsia="zh-CN"/>
        </w:rPr>
      </w:pPr>
      <w:r>
        <w:rPr>
          <w:rFonts w:hint="eastAsia" w:hAnsi="Cambria Math"/>
          <w:lang w:val="en-US" w:eastAsia="zh-CN"/>
        </w:rPr>
        <w:t>测量对象Mini LED存在像素点间距。根据</w:t>
      </w:r>
      <w:r>
        <w:rPr>
          <w:rFonts w:hint="eastAsia"/>
        </w:rPr>
        <w:t>光谱辐射亮度计的测量视场角1°，</w:t>
      </w:r>
      <w:r>
        <w:rPr>
          <w:rFonts w:hint="eastAsia"/>
          <w:lang w:val="en-US" w:eastAsia="zh-CN"/>
        </w:rPr>
        <w:t>和</w:t>
      </w:r>
      <w:r>
        <w:rPr>
          <w:rFonts w:hint="eastAsia"/>
        </w:rPr>
        <w:t>测量距离1500</w:t>
      </w:r>
      <w:r>
        <w:rPr>
          <w:rFonts w:hint="eastAsia"/>
          <w:lang w:val="en-US" w:eastAsia="zh-CN"/>
        </w:rPr>
        <w:t xml:space="preserve"> </w:t>
      </w:r>
      <w:r>
        <w:rPr>
          <w:rFonts w:hint="eastAsia"/>
        </w:rPr>
        <w:t>mm，</w:t>
      </w:r>
      <w:r>
        <w:rPr>
          <w:rFonts w:hint="eastAsia"/>
          <w:lang w:val="en-US" w:eastAsia="zh-CN"/>
        </w:rPr>
        <w:t>计算出</w:t>
      </w:r>
      <w:r>
        <w:rPr>
          <w:rFonts w:hint="eastAsia"/>
        </w:rPr>
        <w:t>在垂直方向上对应显示屏采样区域的直径约26</w:t>
      </w:r>
      <w:r>
        <w:rPr>
          <w:rFonts w:hint="eastAsia"/>
          <w:lang w:val="en-US" w:eastAsia="zh-CN"/>
        </w:rPr>
        <w:t xml:space="preserve"> </w:t>
      </w:r>
      <w:r>
        <w:rPr>
          <w:rFonts w:hint="eastAsia"/>
        </w:rPr>
        <w:t>mm，面积约530</w:t>
      </w:r>
      <w:r>
        <w:rPr>
          <w:rFonts w:hint="eastAsia"/>
          <w:lang w:val="en-US" w:eastAsia="zh-CN"/>
        </w:rPr>
        <w:t xml:space="preserve"> </w:t>
      </w:r>
      <w:r>
        <w:rPr>
          <w:rFonts w:hint="eastAsia"/>
        </w:rPr>
        <w:t>mm</w:t>
      </w:r>
      <w:r>
        <w:rPr>
          <w:rFonts w:hint="eastAsia"/>
          <w:vertAlign w:val="superscript"/>
        </w:rPr>
        <w:t>2</w:t>
      </w:r>
      <w:r>
        <w:rPr>
          <w:rFonts w:hint="eastAsia"/>
        </w:rPr>
        <w:t>。</w:t>
      </w:r>
      <w:r>
        <w:rPr>
          <w:rFonts w:hint="eastAsia"/>
          <w:lang w:val="en-US" w:eastAsia="zh-CN"/>
        </w:rPr>
        <w:t>其像素点个数超过500个，</w:t>
      </w:r>
      <w:r>
        <w:rPr>
          <w:rFonts w:hint="eastAsia" w:hAnsi="Cambria Math"/>
          <w:lang w:val="en-US" w:eastAsia="zh-CN"/>
        </w:rPr>
        <w:t>根据经验，</w:t>
      </w:r>
      <w:r>
        <w:rPr>
          <w:rFonts w:hint="eastAsia" w:hAnsi="Cambria Math" w:cs="Times New Roman"/>
          <w:i w:val="0"/>
          <w:kern w:val="2"/>
          <w:sz w:val="24"/>
          <w:szCs w:val="24"/>
          <w:lang w:val="en-US" w:eastAsia="zh-CN" w:bidi="ar-SA"/>
        </w:rPr>
        <w:t>显示屏像素点间距影响</w:t>
      </w:r>
      <w:r>
        <w:rPr>
          <w:rFonts w:hint="eastAsia" w:hAnsi="Cambria Math"/>
          <w:lang w:val="en-US" w:eastAsia="zh-CN"/>
        </w:rPr>
        <w:t>的偏差不大于±0.2%，</w:t>
      </w:r>
      <w:r>
        <w:rPr>
          <w:rFonts w:hint="eastAsia" w:hAnsi="Cambria Math" w:cs="Times New Roman"/>
          <w:i w:val="0"/>
          <w:kern w:val="2"/>
          <w:sz w:val="24"/>
          <w:szCs w:val="24"/>
          <w:lang w:val="en-US" w:eastAsia="zh-CN" w:bidi="ar-SA"/>
        </w:rPr>
        <w:t>显示屏像素点间距影响</w:t>
      </w:r>
      <w:r>
        <w:rPr>
          <w:rFonts w:hint="eastAsia" w:hAnsi="Cambria Math"/>
          <w:lang w:val="en-US" w:eastAsia="zh-CN"/>
        </w:rPr>
        <w:t>引入的不确定度分量是</w:t>
      </w:r>
    </w:p>
    <w:p w14:paraId="23B1ED70">
      <w:pPr>
        <w:ind w:left="420"/>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rel,</m:t>
            </m:r>
            <m:r>
              <m:rPr>
                <m:sty m:val="p"/>
              </m:rPr>
              <w:rPr>
                <w:rFonts w:hint="default" w:ascii="Cambria Math" w:hAnsi="Cambria Math"/>
                <w:szCs w:val="22"/>
                <w:lang w:val="en-US" w:eastAsia="zh-CN"/>
              </w:rPr>
              <m:t>8</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c</m:t>
            </m:r>
            <m:ctrlPr>
              <w:rPr>
                <w:rFonts w:ascii="Cambria Math" w:hAnsi="Cambria Math"/>
              </w:rPr>
            </m:ctrlPr>
          </m:e>
          <m:sub>
            <m:r>
              <m:rPr>
                <m:sty m:val="p"/>
              </m:rPr>
              <w:rPr>
                <w:rFonts w:hint="default" w:ascii="Cambria Math" w:hAnsi="Cambria Math"/>
                <w:lang w:val="en-US" w:eastAsia="zh-CN"/>
              </w:rPr>
              <m:t>4</m:t>
            </m:r>
            <m:ctrlPr>
              <w:rPr>
                <w:rFonts w:ascii="Cambria Math" w:hAnsi="Cambria Math"/>
              </w:rPr>
            </m:ctrlPr>
          </m:sub>
        </m:sSub>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0.2</m:t>
            </m:r>
            <m:r>
              <m:rPr/>
              <w:rPr>
                <w:rFonts w:hint="eastAsia" w:ascii="Cambria Math" w:hAnsi="Cambria Math"/>
                <w:szCs w:val="22"/>
              </w:rPr>
              <m:t>%</m:t>
            </m:r>
            <m:ctrlPr>
              <w:rPr>
                <w:rFonts w:ascii="Cambria Math" w:hAnsi="Cambria Math"/>
                <w:i/>
                <w:szCs w:val="22"/>
              </w:rPr>
            </m:ctrlPr>
          </m:num>
          <m:den>
            <m:rad>
              <m:radPr>
                <m:degHide m:val="1"/>
                <m:ctrlPr>
                  <w:rPr>
                    <w:rFonts w:ascii="Cambria Math" w:hAnsi="Cambria Math"/>
                    <w:i/>
                    <w:szCs w:val="22"/>
                  </w:rPr>
                </m:ctrlPr>
              </m:radPr>
              <m:deg>
                <m:ctrlPr>
                  <w:rPr>
                    <w:rFonts w:ascii="Cambria Math" w:hAnsi="Cambria Math"/>
                    <w:i/>
                    <w:szCs w:val="22"/>
                  </w:rPr>
                </m:ctrlPr>
              </m:deg>
              <m:e>
                <m:r>
                  <m:rPr/>
                  <w:rPr>
                    <w:rFonts w:hint="default" w:ascii="Cambria Math" w:hAnsi="Cambria Math"/>
                    <w:szCs w:val="22"/>
                    <w:lang w:val="en-US" w:eastAsia="zh-CN"/>
                  </w:rPr>
                  <m:t>3</m:t>
                </m:r>
                <m:ctrlPr>
                  <w:rPr>
                    <w:rFonts w:ascii="Cambria Math" w:hAnsi="Cambria Math"/>
                    <w:i/>
                    <w:szCs w:val="22"/>
                  </w:rPr>
                </m:ctrlPr>
              </m:e>
            </m:rad>
            <m:ctrlPr>
              <w:rPr>
                <w:rFonts w:ascii="Cambria Math" w:hAnsi="Cambria Math"/>
                <w:i/>
                <w:szCs w:val="22"/>
              </w:rPr>
            </m:ctrlPr>
          </m:den>
        </m:f>
        <m:r>
          <m:rPr/>
          <w:rPr>
            <w:rFonts w:ascii="Cambria Math" w:hAnsi="Cambria Math"/>
            <w:szCs w:val="22"/>
          </w:rPr>
          <m:t>≈0.</m:t>
        </m:r>
        <m:r>
          <m:rPr/>
          <w:rPr>
            <w:rFonts w:hint="default" w:ascii="Cambria Math" w:hAnsi="Cambria Math"/>
            <w:szCs w:val="22"/>
            <w:lang w:val="en-US" w:eastAsia="zh-CN"/>
          </w:rPr>
          <m:t>1</m:t>
        </m:r>
        <m:r>
          <m:rPr/>
          <w:rPr>
            <w:rFonts w:ascii="Cambria Math" w:hAnsi="Cambria Math"/>
            <w:szCs w:val="22"/>
          </w:rPr>
          <m:t>%</m:t>
        </m:r>
      </m:oMath>
      <w:r>
        <w:rPr>
          <w:rFonts w:hint="eastAsia" w:hAnsi="Cambria Math"/>
          <w:szCs w:val="22"/>
        </w:rPr>
        <w:t>，B类方法评定。</w:t>
      </w:r>
    </w:p>
    <w:p w14:paraId="4CE0ADA6">
      <w:pPr>
        <w:adjustRightInd w:val="0"/>
        <w:snapToGrid w:val="0"/>
        <w:ind w:firstLine="420" w:firstLineChars="0"/>
        <w:jc w:val="both"/>
        <w:rPr>
          <w:rFonts w:hint="default" w:hAnsi="Cambria Math"/>
          <w:lang w:val="en-US" w:eastAsia="zh-CN"/>
        </w:rPr>
      </w:pPr>
    </w:p>
    <w:p w14:paraId="31E36ACE">
      <w:pPr>
        <w:adjustRightInd w:val="0"/>
        <w:snapToGrid w:val="0"/>
        <w:jc w:val="both"/>
        <w:rPr>
          <w:rFonts w:hint="eastAsia" w:hAnsi="Cambria Math" w:cs="Times New Roman"/>
          <w:i w:val="0"/>
          <w:kern w:val="2"/>
          <w:sz w:val="24"/>
          <w:szCs w:val="24"/>
          <w:lang w:val="en-US" w:eastAsia="zh-CN" w:bidi="ar-SA"/>
        </w:rPr>
      </w:pPr>
      <w:r>
        <w:rPr>
          <w:rFonts w:hint="eastAsia" w:hAnsi="Cambria Math" w:cs="Times New Roman"/>
          <w:i w:val="0"/>
          <w:kern w:val="2"/>
          <w:sz w:val="24"/>
          <w:szCs w:val="24"/>
          <w:lang w:val="en-US" w:eastAsia="zh-CN" w:bidi="ar-SA"/>
        </w:rPr>
        <w:t>B.</w:t>
      </w:r>
      <w:r>
        <w:rPr>
          <w:rFonts w:hint="eastAsia"/>
          <w:lang w:val="en-US" w:eastAsia="zh-CN"/>
        </w:rPr>
        <w:t>1.</w:t>
      </w:r>
      <w:r>
        <w:rPr>
          <w:rFonts w:hint="eastAsia" w:hAnsi="Cambria Math" w:cs="Times New Roman"/>
          <w:i w:val="0"/>
          <w:kern w:val="2"/>
          <w:sz w:val="24"/>
          <w:szCs w:val="24"/>
          <w:lang w:val="en-US" w:eastAsia="zh-CN" w:bidi="ar-SA"/>
        </w:rPr>
        <w:t xml:space="preserve">4 </w:t>
      </w:r>
      <w:r>
        <w:rPr>
          <w:rFonts w:hint="eastAsia"/>
          <w:sz w:val="24"/>
          <w:szCs w:val="22"/>
          <w:highlight w:val="none"/>
          <w:lang w:val="en-US" w:eastAsia="zh-CN"/>
        </w:rPr>
        <w:t>标准不确定度分量评定结果</w:t>
      </w:r>
    </w:p>
    <w:p w14:paraId="20F9C99E">
      <w:pPr>
        <w:pStyle w:val="4"/>
        <w:jc w:val="center"/>
        <w:rPr>
          <w:rFonts w:eastAsia="宋体"/>
        </w:rPr>
      </w:pPr>
      <w:r>
        <w:t xml:space="preserve">表 </w:t>
      </w:r>
      <w:bookmarkStart w:id="99" w:name="_Toc30715"/>
      <w:r>
        <w:rPr>
          <w:rFonts w:hint="eastAsia"/>
          <w:lang w:val="en-US" w:eastAsia="zh-CN"/>
        </w:rPr>
        <w:t>B.1</w:t>
      </w:r>
      <w:r>
        <w:rPr>
          <w:rFonts w:hint="eastAsia"/>
        </w:rPr>
        <w:t xml:space="preserve"> 亮度不确定度分量评估结果</w:t>
      </w:r>
      <w:bookmarkEnd w:id="99"/>
    </w:p>
    <w:tbl>
      <w:tblPr>
        <w:tblStyle w:val="8"/>
        <w:tblW w:w="7027" w:type="dxa"/>
        <w:jc w:val="center"/>
        <w:tblLayout w:type="fixed"/>
        <w:tblCellMar>
          <w:top w:w="0" w:type="dxa"/>
          <w:left w:w="108" w:type="dxa"/>
          <w:bottom w:w="0" w:type="dxa"/>
          <w:right w:w="108" w:type="dxa"/>
        </w:tblCellMar>
      </w:tblPr>
      <w:tblGrid>
        <w:gridCol w:w="2416"/>
        <w:gridCol w:w="1622"/>
        <w:gridCol w:w="2989"/>
      </w:tblGrid>
      <w:tr w14:paraId="38F860BD">
        <w:tblPrEx>
          <w:tblCellMar>
            <w:top w:w="0" w:type="dxa"/>
            <w:left w:w="108" w:type="dxa"/>
            <w:bottom w:w="0" w:type="dxa"/>
            <w:right w:w="108" w:type="dxa"/>
          </w:tblCellMar>
        </w:tblPrEx>
        <w:trPr>
          <w:trHeight w:val="66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87A7B">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来源</w:t>
            </w:r>
          </w:p>
        </w:tc>
        <w:tc>
          <w:tcPr>
            <w:tcW w:w="16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F907C">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类型</w:t>
            </w:r>
          </w:p>
        </w:tc>
        <w:tc>
          <w:tcPr>
            <w:tcW w:w="2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6A9AF">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相对不确定度分量贡献/%</w:t>
            </w:r>
          </w:p>
        </w:tc>
      </w:tr>
      <w:tr w14:paraId="1F576AA3">
        <w:tblPrEx>
          <w:tblCellMar>
            <w:top w:w="0" w:type="dxa"/>
            <w:left w:w="108" w:type="dxa"/>
            <w:bottom w:w="0" w:type="dxa"/>
            <w:right w:w="108" w:type="dxa"/>
          </w:tblCellMar>
        </w:tblPrEx>
        <w:trPr>
          <w:trHeight w:val="48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3F50C">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上级亮度标准</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CA4A7">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56599">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1.0 </w:t>
            </w:r>
          </w:p>
        </w:tc>
      </w:tr>
      <w:tr w14:paraId="081926D9">
        <w:tblPrEx>
          <w:tblCellMar>
            <w:top w:w="0" w:type="dxa"/>
            <w:left w:w="108" w:type="dxa"/>
            <w:bottom w:w="0" w:type="dxa"/>
            <w:right w:w="108" w:type="dxa"/>
          </w:tblCellMar>
        </w:tblPrEx>
        <w:trPr>
          <w:trHeight w:val="4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2B0B3">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亮度计分辨力</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1B9CA">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1507A">
            <w:pPr>
              <w:widowControl/>
              <w:jc w:val="center"/>
              <w:textAlignment w:val="center"/>
              <w:rPr>
                <w:rFonts w:hint="default" w:ascii="宋体" w:hAnsi="宋体" w:eastAsia="宋体" w:cs="宋体"/>
                <w:color w:val="000000"/>
                <w:sz w:val="22"/>
                <w:szCs w:val="22"/>
                <w:lang w:val="en-US" w:eastAsia="zh-CN"/>
              </w:rPr>
            </w:pPr>
            <w:r>
              <w:rPr>
                <w:rFonts w:hint="eastAsia" w:ascii="宋体" w:hAnsi="宋体" w:eastAsia="宋体" w:cs="宋体"/>
                <w:color w:val="000000"/>
                <w:kern w:val="0"/>
                <w:sz w:val="22"/>
                <w:szCs w:val="22"/>
                <w:lang w:bidi="ar"/>
              </w:rPr>
              <w:t>0.0</w:t>
            </w:r>
            <w:r>
              <w:rPr>
                <w:rFonts w:hint="eastAsia" w:ascii="宋体" w:hAnsi="宋体" w:eastAsia="宋体" w:cs="宋体"/>
                <w:color w:val="000000"/>
                <w:kern w:val="0"/>
                <w:sz w:val="22"/>
                <w:szCs w:val="22"/>
                <w:lang w:val="en-US" w:eastAsia="zh-CN" w:bidi="ar"/>
              </w:rPr>
              <w:t>02</w:t>
            </w:r>
          </w:p>
        </w:tc>
      </w:tr>
      <w:tr w14:paraId="28D5B887">
        <w:tblPrEx>
          <w:tblCellMar>
            <w:top w:w="0" w:type="dxa"/>
            <w:left w:w="108" w:type="dxa"/>
            <w:bottom w:w="0" w:type="dxa"/>
            <w:right w:w="108" w:type="dxa"/>
          </w:tblCellMar>
        </w:tblPrEx>
        <w:trPr>
          <w:trHeight w:val="42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41418">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测量重复性</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BE92">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A</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2EFC8">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0.03</w:t>
            </w:r>
          </w:p>
        </w:tc>
      </w:tr>
      <w:tr w14:paraId="5A988462">
        <w:tblPrEx>
          <w:tblCellMar>
            <w:top w:w="0" w:type="dxa"/>
            <w:left w:w="108" w:type="dxa"/>
            <w:bottom w:w="0" w:type="dxa"/>
            <w:right w:w="108" w:type="dxa"/>
          </w:tblCellMar>
        </w:tblPrEx>
        <w:trPr>
          <w:trHeight w:val="4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EA09">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LED稳定性</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330AF">
            <w:pPr>
              <w:widowControl/>
              <w:jc w:val="center"/>
              <w:textAlignment w:val="center"/>
              <w:rPr>
                <w:rFonts w:hint="eastAsia" w:ascii="宋体" w:hAnsi="宋体" w:eastAsia="宋体" w:cs="宋体"/>
                <w:color w:val="000000"/>
                <w:kern w:val="0"/>
                <w:sz w:val="22"/>
                <w:szCs w:val="22"/>
                <w:lang w:eastAsia="zh-CN" w:bidi="ar"/>
              </w:rPr>
            </w:pPr>
            <w:r>
              <w:rPr>
                <w:rFonts w:hint="eastAsia" w:ascii="宋体" w:hAnsi="宋体" w:eastAsia="宋体" w:cs="宋体"/>
                <w:color w:val="000000"/>
                <w:kern w:val="0"/>
                <w:sz w:val="22"/>
                <w:szCs w:val="22"/>
                <w:lang w:val="en-US" w:eastAsia="zh-CN"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AC7A">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0.5</w:t>
            </w:r>
          </w:p>
        </w:tc>
      </w:tr>
      <w:tr w14:paraId="480E863C">
        <w:tblPrEx>
          <w:tblCellMar>
            <w:top w:w="0" w:type="dxa"/>
            <w:left w:w="108" w:type="dxa"/>
            <w:bottom w:w="0" w:type="dxa"/>
            <w:right w:w="108" w:type="dxa"/>
          </w:tblCellMar>
        </w:tblPrEx>
        <w:trPr>
          <w:trHeight w:val="4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B890E">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亮度计的非线性</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B5AD">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794A7">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0.1</w:t>
            </w:r>
          </w:p>
        </w:tc>
      </w:tr>
      <w:tr w14:paraId="63E7E9B3">
        <w:tblPrEx>
          <w:tblCellMar>
            <w:top w:w="0" w:type="dxa"/>
            <w:left w:w="108" w:type="dxa"/>
            <w:bottom w:w="0" w:type="dxa"/>
            <w:right w:w="108" w:type="dxa"/>
          </w:tblCellMar>
        </w:tblPrEx>
        <w:trPr>
          <w:trHeight w:val="5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09525">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亮度计内部杂散光</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6951D">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3704C">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0.3</w:t>
            </w:r>
          </w:p>
        </w:tc>
      </w:tr>
      <w:tr w14:paraId="65AC5E22">
        <w:tblPrEx>
          <w:tblCellMar>
            <w:top w:w="0" w:type="dxa"/>
            <w:left w:w="108" w:type="dxa"/>
            <w:bottom w:w="0" w:type="dxa"/>
            <w:right w:w="108" w:type="dxa"/>
          </w:tblCellMar>
        </w:tblPrEx>
        <w:trPr>
          <w:trHeight w:val="4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D6CEA">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测量距离</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34A2">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80CB5">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0.3</w:t>
            </w:r>
          </w:p>
        </w:tc>
      </w:tr>
      <w:tr w14:paraId="2E629010">
        <w:tblPrEx>
          <w:tblCellMar>
            <w:top w:w="0" w:type="dxa"/>
            <w:left w:w="108" w:type="dxa"/>
            <w:bottom w:w="0" w:type="dxa"/>
            <w:right w:w="108" w:type="dxa"/>
          </w:tblCellMar>
        </w:tblPrEx>
        <w:trPr>
          <w:trHeight w:val="440" w:hRule="atLeast"/>
          <w:jc w:val="center"/>
        </w:trPr>
        <w:tc>
          <w:tcPr>
            <w:tcW w:w="2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42B39">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显示屏像素点间距影响</w:t>
            </w:r>
          </w:p>
        </w:tc>
        <w:tc>
          <w:tcPr>
            <w:tcW w:w="16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B009F">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B</w:t>
            </w:r>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3C894">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0.1</w:t>
            </w:r>
          </w:p>
        </w:tc>
      </w:tr>
      <w:tr w14:paraId="6B8CDC43">
        <w:tblPrEx>
          <w:tblCellMar>
            <w:top w:w="0" w:type="dxa"/>
            <w:left w:w="108" w:type="dxa"/>
            <w:bottom w:w="0" w:type="dxa"/>
            <w:right w:w="108" w:type="dxa"/>
          </w:tblCellMar>
        </w:tblPrEx>
        <w:trPr>
          <w:trHeight w:val="288" w:hRule="atLeast"/>
          <w:jc w:val="center"/>
        </w:trPr>
        <w:tc>
          <w:tcPr>
            <w:tcW w:w="403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D756E">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标准不确定度</w:t>
            </w:r>
            <m:oMath>
              <m:sSub>
                <m:sSubPr>
                  <m:ctrlPr>
                    <w:rPr>
                      <w:rFonts w:ascii="Cambria Math" w:hAnsi="Cambria Math" w:cs="Cambria Math"/>
                      <w:i/>
                    </w:rPr>
                  </m:ctrlPr>
                </m:sSubPr>
                <m:e>
                  <m:r>
                    <m:rPr/>
                    <w:rPr>
                      <w:rFonts w:ascii="Cambria Math" w:hAnsi="Cambria Math" w:cs="Cambria Math"/>
                    </w:rPr>
                    <m:t>u</m:t>
                  </m:r>
                  <m:ctrlPr>
                    <w:rPr>
                      <w:rFonts w:ascii="Cambria Math" w:hAnsi="Cambria Math" w:cs="Cambria Math"/>
                      <w:i/>
                    </w:rPr>
                  </m:ctrlPr>
                </m:e>
                <m:sub>
                  <m:r>
                    <m:rPr>
                      <m:sty m:val="p"/>
                    </m:rPr>
                    <w:rPr>
                      <w:rFonts w:ascii="Cambria Math" w:hAnsi="Cambria Math" w:cs="Cambria Math"/>
                    </w:rPr>
                    <m:t>rel</m:t>
                  </m:r>
                  <m:ctrlPr>
                    <w:rPr>
                      <w:rFonts w:ascii="Cambria Math" w:hAnsi="Cambria Math" w:cs="Cambria Math"/>
                      <w:i/>
                    </w:rPr>
                  </m:ctrlPr>
                </m:sub>
              </m:sSub>
            </m:oMath>
          </w:p>
        </w:tc>
        <w:tc>
          <w:tcPr>
            <w:tcW w:w="29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EB89A">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1.</w:t>
            </w:r>
            <w:r>
              <w:rPr>
                <w:rFonts w:hint="eastAsia" w:ascii="宋体" w:hAnsi="宋体" w:eastAsia="宋体" w:cs="宋体"/>
                <w:color w:val="000000"/>
                <w:kern w:val="0"/>
                <w:sz w:val="22"/>
                <w:szCs w:val="22"/>
                <w:lang w:val="en-US" w:eastAsia="zh-CN" w:bidi="ar"/>
              </w:rPr>
              <w:t>2</w:t>
            </w:r>
            <w:r>
              <w:rPr>
                <w:rFonts w:hint="eastAsia" w:ascii="宋体" w:hAnsi="宋体" w:eastAsia="宋体" w:cs="宋体"/>
                <w:color w:val="000000"/>
                <w:kern w:val="0"/>
                <w:sz w:val="22"/>
                <w:szCs w:val="22"/>
                <w:lang w:bidi="ar"/>
              </w:rPr>
              <w:t xml:space="preserve"> </w:t>
            </w:r>
          </w:p>
        </w:tc>
      </w:tr>
    </w:tbl>
    <w:p w14:paraId="3EA982BD">
      <w:pPr>
        <w:adjustRightInd w:val="0"/>
        <w:snapToGrid w:val="0"/>
        <w:jc w:val="both"/>
        <w:rPr>
          <w:rFonts w:hint="default" w:hAnsi="Cambria Math" w:cs="Times New Roman"/>
          <w:i w:val="0"/>
          <w:kern w:val="2"/>
          <w:sz w:val="24"/>
          <w:szCs w:val="24"/>
          <w:lang w:val="en-US" w:eastAsia="zh-CN" w:bidi="ar-SA"/>
        </w:rPr>
      </w:pPr>
    </w:p>
    <w:p w14:paraId="42B99829">
      <w:pPr>
        <w:rPr>
          <w:rFonts w:hint="default"/>
          <w:sz w:val="24"/>
          <w:szCs w:val="22"/>
          <w:highlight w:val="none"/>
          <w:lang w:val="en-US" w:eastAsia="zh-CN"/>
        </w:rPr>
      </w:pPr>
      <w:r>
        <w:rPr>
          <w:rFonts w:hint="eastAsia"/>
          <w:sz w:val="24"/>
          <w:szCs w:val="22"/>
          <w:highlight w:val="none"/>
          <w:lang w:val="en-US" w:eastAsia="zh-CN"/>
        </w:rPr>
        <w:t>B.</w:t>
      </w:r>
      <w:r>
        <w:rPr>
          <w:rFonts w:hint="eastAsia"/>
          <w:lang w:val="en-US" w:eastAsia="zh-CN"/>
        </w:rPr>
        <w:t>1.</w:t>
      </w:r>
      <w:r>
        <w:rPr>
          <w:rFonts w:hint="eastAsia"/>
          <w:sz w:val="24"/>
          <w:szCs w:val="22"/>
          <w:highlight w:val="none"/>
          <w:lang w:val="en-US" w:eastAsia="zh-CN"/>
        </w:rPr>
        <w:t>5 校准不确定度表达</w:t>
      </w:r>
    </w:p>
    <w:p w14:paraId="6238D7C8">
      <w:pPr>
        <w:ind w:firstLine="420" w:firstLineChars="0"/>
      </w:pPr>
      <w:r>
        <w:rPr>
          <w:rFonts w:hint="eastAsia"/>
        </w:rPr>
        <w:t>上述各不确定度来源独立，不相关。相对合成标准不确定度的计算公式简化为</w:t>
      </w:r>
    </w:p>
    <w:p w14:paraId="2FE1FC29">
      <w:pPr>
        <w:rPr>
          <w:rFonts w:hAnsi="Cambria Math"/>
        </w:rPr>
      </w:pPr>
      <m:oMathPara>
        <m:oMathParaPr>
          <m:jc m:val="center"/>
        </m:oMathParaPr>
        <m:oMath>
          <m:sSub>
            <m:sSubPr>
              <m:ctrlPr>
                <w:rPr>
                  <w:rFonts w:ascii="Cambria Math" w:hAnsi="Cambria Math"/>
                  <w:i/>
                </w:rPr>
              </m:ctrlPr>
            </m:sSubPr>
            <m:e>
              <m:r>
                <m:rPr/>
                <w:rPr>
                  <w:rFonts w:ascii="Cambria Math" w:hAnsi="Cambria Math"/>
                </w:rPr>
                <m:t>u</m:t>
              </m:r>
              <m:ctrlPr>
                <w:rPr>
                  <w:rFonts w:ascii="Cambria Math" w:hAnsi="Cambria Math"/>
                  <w:i/>
                </w:rPr>
              </m:ctrlPr>
            </m:e>
            <m:sub>
              <m:r>
                <m:rPr>
                  <m:nor/>
                  <m:sty m:val="p"/>
                </m:rPr>
                <w:rPr>
                  <w:rFonts w:ascii="Cambria Math" w:hAnsi="Cambria Math"/>
                  <w:b w:val="0"/>
                  <w:i w:val="0"/>
                </w:rPr>
                <m:t>c,rel</m:t>
              </m:r>
              <m:ctrlPr>
                <w:rPr>
                  <w:rFonts w:ascii="Cambria Math" w:hAnsi="Cambria Math"/>
                </w:rPr>
              </m:ctrlPr>
            </m:sub>
          </m:sSub>
          <m:r>
            <m:rPr/>
            <w:rPr>
              <w:rFonts w:ascii="Cambria Math" w:hAnsi="Cambria Math"/>
            </w:rPr>
            <m:t>=</m:t>
          </m:r>
          <m:rad>
            <m:radPr>
              <m:degHide m:val="1"/>
              <m:ctrlPr>
                <w:rPr>
                  <w:rFonts w:ascii="Cambria Math" w:hAnsi="Cambria Math"/>
                  <w:i/>
                </w:rPr>
              </m:ctrlPr>
            </m:radPr>
            <m:deg>
              <m:ctrlPr>
                <w:rPr>
                  <w:rFonts w:ascii="Cambria Math" w:hAnsi="Cambria Math"/>
                  <w:i/>
                </w:rPr>
              </m:ctrlPr>
            </m:deg>
            <m:e>
              <m:nary>
                <m:naryPr>
                  <m:chr m:val="∑"/>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hint="default" w:ascii="Cambria Math" w:hAnsi="Cambria Math"/>
                      <w:lang w:val="en-US" w:eastAsia="zh-CN"/>
                    </w:rPr>
                    <m:t>8</m:t>
                  </m:r>
                  <m:ctrlPr>
                    <w:rPr>
                      <w:rFonts w:ascii="Cambria Math" w:hAnsi="Cambria Math"/>
                      <w:i/>
                    </w:rPr>
                  </m:ctrlPr>
                </m:sup>
                <m:e>
                  <m:sSubSup>
                    <m:sSubSupPr>
                      <m:ctrlPr>
                        <w:rPr>
                          <w:rFonts w:ascii="Cambria Math" w:hAnsi="Cambria Math" w:eastAsia="宋体"/>
                          <w:i/>
                        </w:rPr>
                      </m:ctrlPr>
                    </m:sSubSupPr>
                    <m:e>
                      <m:r>
                        <m:rPr/>
                        <w:rPr>
                          <w:rFonts w:ascii="Cambria Math" w:hAnsi="Cambria Math" w:eastAsia="宋体"/>
                        </w:rPr>
                        <m:t>u</m:t>
                      </m:r>
                      <m:ctrlPr>
                        <w:rPr>
                          <w:rFonts w:ascii="Cambria Math" w:hAnsi="Cambria Math" w:eastAsia="宋体"/>
                          <w:i/>
                        </w:rPr>
                      </m:ctrlPr>
                    </m:e>
                    <m:sub>
                      <m:r>
                        <m:rPr>
                          <m:nor/>
                          <m:sty m:val="p"/>
                        </m:rPr>
                        <w:rPr>
                          <w:rFonts w:ascii="Cambria Math" w:hAnsi="Cambria Math" w:eastAsia="宋体"/>
                          <w:b w:val="0"/>
                          <w:i w:val="0"/>
                        </w:rPr>
                        <m:t>rel,</m:t>
                      </m:r>
                      <m:r>
                        <m:rPr>
                          <m:nor/>
                        </m:rPr>
                        <w:rPr>
                          <w:rFonts w:ascii="Cambria Math" w:hAnsi="Cambria Math" w:eastAsia="宋体"/>
                          <w:i/>
                          <w:iCs/>
                        </w:rPr>
                        <m:t>i</m:t>
                      </m:r>
                      <m:ctrlPr>
                        <w:rPr>
                          <w:rFonts w:ascii="Cambria Math" w:hAnsi="Cambria Math" w:eastAsia="宋体"/>
                        </w:rPr>
                      </m:ctrlPr>
                    </m:sub>
                    <m:sup>
                      <m:r>
                        <m:rPr/>
                        <w:rPr>
                          <w:rFonts w:ascii="Cambria Math" w:hAnsi="Cambria Math" w:eastAsia="宋体"/>
                        </w:rPr>
                        <m:t>2</m:t>
                      </m:r>
                      <m:ctrlPr>
                        <w:rPr>
                          <w:rFonts w:ascii="Cambria Math" w:hAnsi="Cambria Math" w:eastAsia="宋体"/>
                          <w:i/>
                        </w:rPr>
                      </m:ctrlPr>
                    </m:sup>
                  </m:sSubSup>
                  <m:ctrlPr>
                    <w:rPr>
                      <w:rFonts w:ascii="Cambria Math" w:hAnsi="Cambria Math"/>
                      <w:i/>
                    </w:rPr>
                  </m:ctrlPr>
                </m:e>
              </m:nary>
              <m:ctrlPr>
                <w:rPr>
                  <w:rFonts w:ascii="Cambria Math" w:hAnsi="Cambria Math"/>
                  <w:i/>
                </w:rPr>
              </m:ctrlPr>
            </m:e>
          </m:rad>
          <m:r>
            <m:rPr>
              <m:sty m:val="p"/>
            </m:rPr>
            <w:rPr>
              <w:rFonts w:ascii="Cambria Math" w:hAnsi="Cambria Math"/>
            </w:rPr>
            <m:t xml:space="preserve"> =</m:t>
          </m:r>
          <m:r>
            <m:rPr>
              <m:sty m:val="p"/>
            </m:rPr>
            <w:rPr>
              <w:rFonts w:hint="default" w:ascii="Cambria Math" w:hAnsi="Cambria Math"/>
              <w:lang w:val="en-US" w:eastAsia="zh-CN"/>
            </w:rPr>
            <m:t>1</m:t>
          </m:r>
          <m:r>
            <m:rPr>
              <m:sty m:val="p"/>
            </m:rPr>
            <w:rPr>
              <w:rFonts w:hint="eastAsia" w:ascii="Cambria Math" w:hAnsi="Cambria Math"/>
              <w:lang w:val="en-US" w:eastAsia="zh-CN"/>
            </w:rPr>
            <m:t>.</m:t>
          </m:r>
          <m:r>
            <m:rPr>
              <m:sty m:val="p"/>
            </m:rPr>
            <w:rPr>
              <w:rFonts w:hint="default" w:ascii="Cambria Math" w:hAnsi="Cambria Math"/>
              <w:lang w:val="en-US" w:eastAsia="zh-CN"/>
            </w:rPr>
            <m:t>2</m:t>
          </m:r>
          <m:r>
            <m:rPr>
              <m:sty m:val="p"/>
            </m:rPr>
            <w:rPr>
              <w:rFonts w:ascii="Cambria Math" w:hAnsi="Cambria Math"/>
            </w:rPr>
            <m:t>%</m:t>
          </m:r>
        </m:oMath>
      </m:oMathPara>
    </w:p>
    <w:p w14:paraId="5DD4EE64">
      <w:pPr>
        <w:rPr>
          <w:szCs w:val="22"/>
        </w:rPr>
      </w:pPr>
    </w:p>
    <w:p w14:paraId="3E6E3112">
      <w:pPr>
        <w:rPr>
          <w:rFonts w:hint="default" w:eastAsiaTheme="minorEastAsia"/>
          <w:lang w:val="en-US" w:eastAsia="zh-CN"/>
        </w:rPr>
      </w:pPr>
      <w:r>
        <w:rPr>
          <w:rFonts w:hint="eastAsia"/>
          <w:sz w:val="24"/>
          <w:szCs w:val="22"/>
          <w:highlight w:val="none"/>
          <w:lang w:val="en-US" w:eastAsia="zh-CN"/>
        </w:rPr>
        <w:t>B.</w:t>
      </w:r>
      <w:r>
        <w:rPr>
          <w:rFonts w:hint="eastAsia"/>
          <w:lang w:val="en-US" w:eastAsia="zh-CN"/>
        </w:rPr>
        <w:t>1.</w:t>
      </w:r>
      <w:r>
        <w:rPr>
          <w:rFonts w:hint="eastAsia"/>
          <w:sz w:val="24"/>
          <w:szCs w:val="22"/>
          <w:highlight w:val="none"/>
          <w:lang w:val="en-US" w:eastAsia="zh-CN"/>
        </w:rPr>
        <w:t>6</w:t>
      </w:r>
      <w:r>
        <w:rPr>
          <w:rFonts w:hint="eastAsia"/>
        </w:rPr>
        <w:t xml:space="preserve"> 扩展不确定度的评定</w:t>
      </w:r>
      <w:r>
        <w:rPr>
          <w:rFonts w:hint="eastAsia"/>
          <w:lang w:val="en-US" w:eastAsia="zh-CN"/>
        </w:rPr>
        <w:t xml:space="preserve">   </w:t>
      </w:r>
    </w:p>
    <w:p w14:paraId="4C3FFDBF">
      <w:pPr>
        <w:ind w:firstLine="420"/>
      </w:pPr>
      <w:r>
        <w:rPr>
          <w:rFonts w:hint="eastAsia"/>
        </w:rPr>
        <w:t>取包含因子</w:t>
      </w:r>
      <w:r>
        <w:rPr>
          <w:rFonts w:hint="eastAsia"/>
          <w:i/>
          <w:iCs/>
        </w:rPr>
        <w:t>k</w:t>
      </w:r>
      <w:r>
        <w:rPr>
          <w:rFonts w:hint="eastAsia"/>
        </w:rPr>
        <w:t>=2，则扩展不确定度为</w:t>
      </w:r>
    </w:p>
    <w:p w14:paraId="35588DAB">
      <w:pPr>
        <w:ind w:firstLine="420"/>
        <w:jc w:val="center"/>
        <w:rPr>
          <w:i w:val="0"/>
        </w:rPr>
      </w:pPr>
      <m:oMath>
        <m:sSub>
          <m:sSubPr>
            <m:ctrlPr>
              <w:rPr>
                <w:rFonts w:ascii="Cambria Math" w:hAnsi="Cambria Math"/>
                <w:i/>
              </w:rPr>
            </m:ctrlPr>
          </m:sSubPr>
          <m:e>
            <m:r>
              <m:rPr/>
              <w:rPr>
                <w:rFonts w:ascii="Cambria Math"/>
              </w:rPr>
              <m:t>U</m:t>
            </m:r>
            <m:ctrlPr>
              <w:rPr>
                <w:rFonts w:ascii="Cambria Math" w:hAnsi="Cambria Math"/>
                <w:i/>
              </w:rPr>
            </m:ctrlPr>
          </m:e>
          <m:sub>
            <m:r>
              <m:rPr>
                <m:nor/>
                <m:sty m:val="p"/>
              </m:rPr>
              <w:rPr>
                <w:rFonts w:ascii="Cambria Math"/>
                <w:b w:val="0"/>
                <w:i w:val="0"/>
              </w:rPr>
              <m:t>rel</m:t>
            </m:r>
            <m:ctrlPr>
              <w:rPr>
                <w:rFonts w:ascii="Cambria Math" w:hAnsi="Cambria Math"/>
              </w:rPr>
            </m:ctrlPr>
          </m:sub>
        </m:sSub>
        <m:r>
          <m:rPr/>
          <w:rPr>
            <w:rFonts w:ascii="Cambria Math"/>
          </w:rPr>
          <m:t>=</m:t>
        </m:r>
        <m:r>
          <m:rPr/>
          <w:rPr>
            <w:rFonts w:hint="default" w:ascii="Cambria Math"/>
            <w:lang w:val="en-US" w:eastAsia="zh-CN"/>
          </w:rPr>
          <m:t>1</m:t>
        </m:r>
        <m:r>
          <m:rPr/>
          <w:rPr>
            <w:rFonts w:hint="eastAsia" w:ascii="Cambria Math"/>
            <w:lang w:val="en-US" w:eastAsia="zh-CN"/>
          </w:rPr>
          <m:t>.</m:t>
        </m:r>
        <m:r>
          <m:rPr/>
          <w:rPr>
            <w:rFonts w:hint="default" w:ascii="Cambria Math"/>
            <w:lang w:val="en-US" w:eastAsia="zh-CN"/>
          </w:rPr>
          <m:t>2</m:t>
        </m:r>
        <m:r>
          <m:rPr/>
          <w:rPr>
            <w:rFonts w:ascii="Cambria Math"/>
          </w:rPr>
          <m:t>%×2=</m:t>
        </m:r>
        <m:r>
          <m:rPr/>
          <w:rPr>
            <w:rFonts w:hint="default" w:ascii="Cambria Math"/>
            <w:lang w:val="en-US" w:eastAsia="zh-CN"/>
          </w:rPr>
          <m:t>2</m:t>
        </m:r>
        <m:r>
          <m:rPr/>
          <w:rPr>
            <w:rFonts w:hint="eastAsia" w:ascii="Cambria Math"/>
            <w:lang w:val="en-US" w:eastAsia="zh-CN"/>
          </w:rPr>
          <m:t>.</m:t>
        </m:r>
        <m:r>
          <m:rPr/>
          <w:rPr>
            <w:rFonts w:hint="default" w:ascii="Cambria Math"/>
            <w:lang w:val="en-US" w:eastAsia="zh-CN"/>
          </w:rPr>
          <m:t>4</m:t>
        </m:r>
        <m:r>
          <m:rPr/>
          <w:rPr>
            <w:rFonts w:ascii="Cambria Math"/>
          </w:rPr>
          <m:t>%</m:t>
        </m:r>
      </m:oMath>
      <w:r>
        <w:rPr>
          <w:rFonts w:hint="eastAsia"/>
        </w:rPr>
        <w:t xml:space="preserve"> </w:t>
      </w:r>
      <m:oMath>
        <m:r>
          <m:rPr>
            <m:nor/>
            <m:sty m:val="p"/>
          </m:rPr>
          <w:rPr>
            <w:rFonts w:ascii="Cambria Math"/>
            <w:b w:val="0"/>
            <w:i w:val="0"/>
          </w:rPr>
          <m:t>(</m:t>
        </m:r>
        <m:r>
          <m:rPr/>
          <w:rPr>
            <w:rFonts w:ascii="Cambria Math"/>
          </w:rPr>
          <m:t>k</m:t>
        </m:r>
        <m:r>
          <m:rPr>
            <m:nor/>
            <m:sty m:val="p"/>
          </m:rPr>
          <w:rPr>
            <w:rFonts w:ascii="Cambria Math"/>
            <w:b w:val="0"/>
            <w:i w:val="0"/>
          </w:rPr>
          <m:t>=2)</m:t>
        </m:r>
      </m:oMath>
    </w:p>
    <w:p w14:paraId="1EA5421A">
      <w:pPr>
        <w:adjustRightInd w:val="0"/>
        <w:snapToGrid w:val="0"/>
        <w:jc w:val="both"/>
        <w:rPr>
          <w:rFonts w:hint="default" w:hAnsi="Cambria Math" w:cs="Times New Roman"/>
          <w:i w:val="0"/>
          <w:kern w:val="2"/>
          <w:sz w:val="24"/>
          <w:szCs w:val="24"/>
          <w:lang w:val="en-US" w:eastAsia="zh-CN" w:bidi="ar-SA"/>
        </w:rPr>
      </w:pPr>
    </w:p>
    <w:p w14:paraId="790C9222">
      <w:pPr>
        <w:adjustRightInd w:val="0"/>
        <w:snapToGrid w:val="0"/>
        <w:jc w:val="both"/>
        <w:rPr>
          <w:rFonts w:hint="eastAsia"/>
          <w:lang w:val="en-US" w:eastAsia="zh-CN"/>
        </w:rPr>
      </w:pPr>
      <w:r>
        <w:rPr>
          <w:rFonts w:hint="eastAsia" w:hAnsi="Cambria Math" w:cs="Times New Roman"/>
          <w:i w:val="0"/>
          <w:kern w:val="2"/>
          <w:sz w:val="24"/>
          <w:szCs w:val="24"/>
          <w:lang w:val="en-US" w:eastAsia="zh-CN" w:bidi="ar-SA"/>
        </w:rPr>
        <w:t xml:space="preserve">B.2 </w:t>
      </w:r>
      <w:r>
        <w:rPr>
          <w:rFonts w:hint="eastAsia"/>
          <w:lang w:val="en-US" w:eastAsia="zh-CN"/>
        </w:rPr>
        <w:t>色品坐标</w:t>
      </w:r>
      <w:r>
        <w:rPr>
          <w:bCs/>
        </w:rPr>
        <w:t>不确定度</w:t>
      </w:r>
      <w:r>
        <w:rPr>
          <w:rFonts w:hint="eastAsia"/>
          <w:bCs/>
        </w:rPr>
        <w:t>评定示例</w:t>
      </w:r>
    </w:p>
    <w:p w14:paraId="2CEFDE0D">
      <w:pPr>
        <w:adjustRightInd w:val="0"/>
        <w:snapToGrid w:val="0"/>
        <w:jc w:val="both"/>
        <w:rPr>
          <w:rFonts w:hint="eastAsia"/>
          <w:lang w:val="en-US" w:eastAsia="zh-CN"/>
        </w:rPr>
      </w:pPr>
      <w:r>
        <w:rPr>
          <w:rFonts w:hint="eastAsia" w:hAnsi="Cambria Math" w:cs="Times New Roman"/>
          <w:i w:val="0"/>
          <w:kern w:val="2"/>
          <w:sz w:val="24"/>
          <w:szCs w:val="24"/>
          <w:lang w:val="en-US" w:eastAsia="zh-CN" w:bidi="ar-SA"/>
        </w:rPr>
        <w:t xml:space="preserve">B.2.1 </w:t>
      </w:r>
      <w:r>
        <w:rPr>
          <w:rFonts w:hint="eastAsia"/>
          <w:lang w:val="en-US" w:eastAsia="zh-CN"/>
        </w:rPr>
        <w:t>色品坐标测量模型</w:t>
      </w:r>
    </w:p>
    <w:p w14:paraId="40C9390B">
      <w:pPr>
        <w:pStyle w:val="3"/>
        <w:ind w:firstLine="480" w:firstLineChars="200"/>
      </w:pPr>
      <w:r>
        <w:rPr>
          <w:rFonts w:hint="eastAsia"/>
          <w:lang w:val="en-US" w:eastAsia="zh-CN"/>
        </w:rPr>
        <w:t>依据本规范，</w:t>
      </w:r>
      <w:r>
        <w:rPr>
          <w:rFonts w:hint="eastAsia"/>
        </w:rPr>
        <w:t>色品坐标</w:t>
      </w:r>
      <w:r>
        <w:rPr>
          <w:rFonts w:hint="eastAsia"/>
          <w:lang w:val="en-US" w:eastAsia="zh-CN"/>
        </w:rPr>
        <w:t>的测量不确定度由</w:t>
      </w:r>
      <w:r>
        <w:rPr>
          <w:rFonts w:hint="eastAsia"/>
        </w:rPr>
        <w:t>光谱辐射亮度计</w:t>
      </w:r>
      <w:r>
        <w:rPr>
          <w:rFonts w:hint="eastAsia"/>
          <w:lang w:val="en-US" w:eastAsia="zh-CN"/>
        </w:rPr>
        <w:t>定标和自身特性，以及显示屏颜色特性</w:t>
      </w:r>
      <w:r>
        <w:rPr>
          <w:rFonts w:hint="eastAsia"/>
        </w:rPr>
        <w:t>决定。测量过程是使用光谱型辐射亮度计对显示屏目标区域采样并根据其相对光谱辐射亮度计算出色品坐标，在仪器上显示。</w:t>
      </w:r>
    </w:p>
    <w:p w14:paraId="029E3A3C">
      <w:pPr>
        <w:pStyle w:val="3"/>
        <w:ind w:firstLine="480" w:firstLineChars="200"/>
      </w:pPr>
      <w:r>
        <w:rPr>
          <w:rFonts w:hint="eastAsia"/>
        </w:rPr>
        <w:t>根据光谱辐射亮度计的定标和测量规律，其测量模型公式是</w:t>
      </w:r>
    </w:p>
    <w:p w14:paraId="0B2CBE1B">
      <w:pPr>
        <w:pStyle w:val="3"/>
        <w:ind w:firstLine="480" w:firstLineChars="200"/>
        <w:rPr>
          <w:rFonts w:hAnsi="Cambria Math"/>
        </w:rPr>
      </w:pPr>
      <m:oMathPara>
        <m:oMath>
          <m:r>
            <m:rPr/>
            <w:rPr>
              <w:rFonts w:ascii="Cambria Math" w:hAnsi="Cambria Math"/>
            </w:rPr>
            <m:t>x</m:t>
          </m:r>
          <m:r>
            <m:rPr>
              <m:sty m:val="p"/>
            </m:rPr>
            <w:rPr>
              <w:rFonts w:ascii="Cambria Math" w:hAnsi="Cambria Math"/>
            </w:rPr>
            <m:t>=</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j=1</m:t>
              </m:r>
              <m:ctrlPr>
                <w:rPr>
                  <w:rFonts w:ascii="Cambria Math" w:hAnsi="Cambria Math"/>
                </w:rPr>
              </m:ctrlPr>
            </m:sub>
            <m:sup>
              <m:r>
                <m:rPr>
                  <m:sty m:val="p"/>
                </m:rPr>
                <w:rPr>
                  <w:rFonts w:ascii="Cambria Math" w:hAnsi="Cambria Math"/>
                </w:rPr>
                <m:t>q</m:t>
              </m:r>
              <m:ctrlPr>
                <w:rPr>
                  <w:rFonts w:ascii="Cambria Math" w:hAnsi="Cambria Math"/>
                </w:rPr>
              </m:ctrlPr>
            </m:sup>
            <m:e>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1, j</m:t>
                  </m:r>
                  <m:ctrlPr>
                    <w:rPr>
                      <w:rFonts w:ascii="Cambria Math" w:hAnsi="Cambria Math" w:cs="Cambria Math"/>
                      <w:i/>
                    </w:rPr>
                  </m:ctrlPr>
                </m:sub>
              </m:sSub>
              <m:ctrlPr>
                <w:rPr>
                  <w:rFonts w:ascii="Cambria Math" w:hAnsi="Cambria Math"/>
                </w:rPr>
              </m:ctrlPr>
            </m:e>
          </m:nary>
        </m:oMath>
      </m:oMathPara>
    </w:p>
    <w:p w14:paraId="4E85CF07">
      <w:pPr>
        <w:pStyle w:val="3"/>
        <w:ind w:firstLine="480" w:firstLineChars="200"/>
        <w:rPr>
          <w:rFonts w:hAnsi="Cambria Math"/>
        </w:rPr>
      </w:pPr>
      <m:oMathPara>
        <m:oMath>
          <m:r>
            <m:rPr/>
            <w:rPr>
              <w:rFonts w:ascii="Cambria Math" w:hAnsi="Cambria Math"/>
            </w:rPr>
            <m:t>y</m:t>
          </m:r>
          <m:r>
            <m:rPr>
              <m:sty m:val="p"/>
            </m:rPr>
            <w:rPr>
              <w:rFonts w:ascii="Cambria Math" w:hAnsi="Cambria Math"/>
            </w:rPr>
            <m:t>=</m:t>
          </m:r>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0</m:t>
              </m:r>
              <m:ctrlPr>
                <w:rPr>
                  <w:rFonts w:ascii="Cambria Math" w:hAnsi="Cambria Math"/>
                </w:rPr>
              </m:ctrlP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j=1</m:t>
              </m:r>
              <m:ctrlPr>
                <w:rPr>
                  <w:rFonts w:ascii="Cambria Math" w:hAnsi="Cambria Math"/>
                </w:rPr>
              </m:ctrlPr>
            </m:sub>
            <m:sup>
              <m:r>
                <m:rPr>
                  <m:sty m:val="p"/>
                </m:rPr>
                <w:rPr>
                  <w:rFonts w:ascii="Cambria Math" w:hAnsi="Cambria Math"/>
                </w:rPr>
                <m:t>q</m:t>
              </m:r>
              <m:ctrlPr>
                <w:rPr>
                  <w:rFonts w:ascii="Cambria Math" w:hAnsi="Cambria Math"/>
                </w:rPr>
              </m:ctrlPr>
            </m:sup>
            <m:e>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2, j</m:t>
                  </m:r>
                  <m:ctrlPr>
                    <w:rPr>
                      <w:rFonts w:ascii="Cambria Math" w:hAnsi="Cambria Math" w:cs="Cambria Math"/>
                      <w:i/>
                    </w:rPr>
                  </m:ctrlPr>
                </m:sub>
              </m:sSub>
              <m:ctrlPr>
                <w:rPr>
                  <w:rFonts w:ascii="Cambria Math" w:hAnsi="Cambria Math"/>
                </w:rPr>
              </m:ctrlPr>
            </m:e>
          </m:nary>
        </m:oMath>
      </m:oMathPara>
    </w:p>
    <w:p w14:paraId="7E64195E">
      <w:pPr>
        <w:pStyle w:val="3"/>
        <w:rPr>
          <w:rFonts w:hAnsi="Cambria Math"/>
        </w:rPr>
      </w:pPr>
      <w:r>
        <w:rPr>
          <w:rFonts w:hint="eastAsia"/>
        </w:rPr>
        <w:t>式中，</w:t>
      </w:r>
      <w:r>
        <w:rPr>
          <w:rFonts w:hint="eastAsia"/>
        </w:rPr>
        <w:tab/>
      </w:r>
      <m:oMath>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hAnsi="Cambria Math"/>
        </w:rPr>
        <w:t>——光谱辐射亮度计的色品坐标x读数；</w:t>
      </w:r>
    </w:p>
    <w:p w14:paraId="612E3A43">
      <w:pPr>
        <w:pStyle w:val="3"/>
        <w:ind w:left="840"/>
        <w:rPr>
          <w:rFonts w:hAnsi="Cambria Math"/>
        </w:rPr>
      </w:pPr>
      <m:oMath>
        <m:sSub>
          <m:sSubPr>
            <m:ctrlPr>
              <w:rPr>
                <w:rFonts w:ascii="Cambria Math" w:hAnsi="Cambria Math"/>
              </w:rPr>
            </m:ctrlPr>
          </m:sSubPr>
          <m:e>
            <m:r>
              <m:rPr/>
              <w:rPr>
                <w:rFonts w:ascii="Cambria Math" w:hAnsi="Cambria Math"/>
              </w:rPr>
              <m:t>y</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hAnsi="Cambria Math"/>
        </w:rPr>
        <w:t>——光谱辐射亮度计的色品坐标y读数；</w:t>
      </w:r>
    </w:p>
    <w:p w14:paraId="457DF3C8">
      <w:pPr>
        <w:pStyle w:val="3"/>
        <w:ind w:left="840"/>
        <w:rPr>
          <w:rFonts w:hAnsi="Cambria Math"/>
        </w:rPr>
      </w:pPr>
      <m:oMath>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1,j</m:t>
            </m:r>
            <m:ctrlPr>
              <w:rPr>
                <w:rFonts w:ascii="Cambria Math" w:hAnsi="Cambria Math" w:cs="Cambria Math"/>
                <w:i/>
              </w:rPr>
            </m:ctrlPr>
          </m:sub>
        </m:sSub>
      </m:oMath>
      <w:r>
        <w:rPr>
          <w:rFonts w:hint="eastAsia" w:hAnsi="Cambria Math"/>
        </w:rPr>
        <w:t>——光谱辐射亮度计的色品坐标x的系列修正系数，分别是波长偏离、带宽、非线性、内部杂散光。本模型中该系数均取1（即不进行修正，但需考虑其不确定度的影响）</w:t>
      </w:r>
    </w:p>
    <w:p w14:paraId="0BFE1886">
      <w:pPr>
        <w:pStyle w:val="3"/>
        <w:ind w:left="840"/>
        <w:rPr>
          <w:rFonts w:hAnsi="Cambria Math"/>
        </w:rPr>
      </w:pPr>
      <m:oMath>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2,j</m:t>
            </m:r>
            <m:ctrlPr>
              <w:rPr>
                <w:rFonts w:ascii="Cambria Math" w:hAnsi="Cambria Math" w:cs="Cambria Math"/>
                <w:i/>
              </w:rPr>
            </m:ctrlPr>
          </m:sub>
        </m:sSub>
      </m:oMath>
      <w:r>
        <w:rPr>
          <w:rFonts w:hint="eastAsia" w:hAnsi="Cambria Math"/>
        </w:rPr>
        <w:t>——光谱辐射亮度计的色品坐标y的系列修正系数，分别是波长偏离、带宽、非线性、内部杂散光。本模型中该系数均取1（即不进行修正，但需考虑其不确定度的影响）</w:t>
      </w:r>
    </w:p>
    <w:p w14:paraId="2DFF907E">
      <w:pPr>
        <w:pStyle w:val="3"/>
        <w:ind w:left="840"/>
        <w:rPr>
          <w:rFonts w:hAnsi="Cambria Math"/>
        </w:rPr>
      </w:pPr>
      <m:oMath>
        <m:r>
          <m:rPr/>
          <w:rPr>
            <w:rFonts w:ascii="Cambria Math" w:hAnsi="Cambria Math" w:cs="Cambria Math"/>
          </w:rPr>
          <m:t>q</m:t>
        </m:r>
      </m:oMath>
      <w:r>
        <w:rPr>
          <w:rFonts w:hint="eastAsia" w:hAnsi="Cambria Math"/>
        </w:rPr>
        <w:t>——光谱辐射亮度计的采用修正系数个数，本模型中是4个。</w:t>
      </w:r>
    </w:p>
    <w:p w14:paraId="2DF40176">
      <w:pPr>
        <w:adjustRightInd w:val="0"/>
        <w:snapToGrid w:val="0"/>
        <w:jc w:val="both"/>
        <w:rPr>
          <w:rFonts w:hint="default"/>
          <w:lang w:val="en-US" w:eastAsia="zh-CN"/>
        </w:rPr>
      </w:pPr>
    </w:p>
    <w:p w14:paraId="4D890254">
      <w:pPr>
        <w:rPr>
          <w:rFonts w:hint="eastAsia"/>
          <w:sz w:val="24"/>
          <w:szCs w:val="22"/>
          <w:highlight w:val="none"/>
          <w:lang w:val="en-US" w:eastAsia="zh-CN"/>
        </w:rPr>
      </w:pPr>
      <w:r>
        <w:rPr>
          <w:rFonts w:hint="eastAsia" w:hAnsi="Cambria Math" w:cs="Times New Roman"/>
          <w:i w:val="0"/>
          <w:kern w:val="2"/>
          <w:sz w:val="24"/>
          <w:szCs w:val="24"/>
          <w:lang w:val="en-US" w:eastAsia="zh-CN" w:bidi="ar-SA"/>
        </w:rPr>
        <w:t>B.</w:t>
      </w:r>
      <w:r>
        <w:rPr>
          <w:rFonts w:hint="eastAsia"/>
          <w:lang w:val="en-US" w:eastAsia="zh-CN"/>
        </w:rPr>
        <w:t>2.</w:t>
      </w:r>
      <w:r>
        <w:rPr>
          <w:rFonts w:hint="eastAsia" w:hAnsi="Cambria Math" w:cs="Times New Roman"/>
          <w:i w:val="0"/>
          <w:kern w:val="2"/>
          <w:sz w:val="24"/>
          <w:szCs w:val="24"/>
          <w:lang w:val="en-US" w:eastAsia="zh-CN" w:bidi="ar-SA"/>
        </w:rPr>
        <w:t xml:space="preserve">2 </w:t>
      </w:r>
      <w:r>
        <w:rPr>
          <w:rFonts w:hint="eastAsia"/>
          <w:lang w:val="en-US" w:eastAsia="zh-CN"/>
        </w:rPr>
        <w:t>色品坐标</w:t>
      </w:r>
      <m:oMath>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hAnsi="Cambria Math"/>
          <w:i w:val="0"/>
          <w:lang w:val="en-US" w:eastAsia="zh-CN"/>
        </w:rPr>
        <w:t>和</w:t>
      </w:r>
      <m:oMath>
        <m:sSub>
          <m:sSubPr>
            <m:ctrlPr>
              <w:rPr>
                <w:rFonts w:ascii="Cambria Math" w:hAnsi="Cambria Math"/>
              </w:rPr>
            </m:ctrlPr>
          </m:sSubPr>
          <m:e>
            <m:r>
              <m:rPr/>
              <w:rPr>
                <w:rFonts w:hint="default" w:ascii="Cambria Math" w:hAnsi="Cambria Math"/>
                <w:lang w:val="en-US" w:eastAsia="zh-CN"/>
              </w:rPr>
              <m:t>y</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lang w:val="en-US" w:eastAsia="zh-CN"/>
        </w:rPr>
        <w:t>的不确定度分量</w:t>
      </w:r>
      <w:r>
        <w:rPr>
          <w:rFonts w:hint="eastAsia"/>
          <w:sz w:val="24"/>
          <w:szCs w:val="22"/>
          <w:highlight w:val="none"/>
          <w:lang w:val="en-US" w:eastAsia="zh-CN"/>
        </w:rPr>
        <w:t>评定</w:t>
      </w:r>
    </w:p>
    <w:p w14:paraId="1325A5FF">
      <w:pPr>
        <w:rPr>
          <w:rFonts w:hint="default" w:ascii="Times New Roman" w:hAnsi="Times New Roman" w:eastAsia="宋体" w:cs="Times New Roman"/>
          <w:color w:val="000000"/>
          <w:kern w:val="0"/>
          <w:sz w:val="24"/>
          <w:szCs w:val="24"/>
          <w:lang w:bidi="ar"/>
        </w:rPr>
      </w:pPr>
      <w:r>
        <w:rPr>
          <w:rFonts w:hint="default" w:ascii="Times New Roman" w:hAnsi="Times New Roman" w:eastAsia="宋体" w:cs="Times New Roman"/>
          <w:sz w:val="24"/>
          <w:szCs w:val="24"/>
          <w:highlight w:val="none"/>
          <w:lang w:val="en-US" w:eastAsia="zh-CN"/>
        </w:rPr>
        <w:t>B.</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highlight w:val="none"/>
          <w:lang w:val="en-US" w:eastAsia="zh-CN"/>
        </w:rPr>
        <w:t xml:space="preserve">2.1 </w:t>
      </w:r>
      <w:r>
        <w:rPr>
          <w:rFonts w:hint="default" w:ascii="Times New Roman" w:hAnsi="Times New Roman" w:eastAsia="宋体" w:cs="Times New Roman"/>
          <w:color w:val="000000"/>
          <w:kern w:val="0"/>
          <w:sz w:val="24"/>
          <w:szCs w:val="24"/>
          <w:lang w:bidi="ar"/>
        </w:rPr>
        <w:t>上级标准</w:t>
      </w:r>
    </w:p>
    <w:p w14:paraId="61DA19F5">
      <w:pPr>
        <w:ind w:firstLine="420" w:firstLineChars="0"/>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光谱辐射亮度计依据色温标准灯的光谱标定其相对光谱。根据色温标准灯2856 K，不确定度</w:t>
      </w:r>
      <w:r>
        <w:rPr>
          <w:rFonts w:hint="default" w:ascii="Times New Roman" w:hAnsi="Times New Roman" w:eastAsia="宋体" w:cs="Times New Roman"/>
          <w:i/>
          <w:iCs/>
          <w:color w:val="000000"/>
          <w:kern w:val="0"/>
          <w:sz w:val="24"/>
          <w:szCs w:val="24"/>
          <w:u w:val="none"/>
          <w:lang w:val="en-US" w:eastAsia="zh-CN" w:bidi="ar"/>
        </w:rPr>
        <w:t>U</w:t>
      </w:r>
      <w:r>
        <w:rPr>
          <w:rFonts w:hint="default" w:ascii="Times New Roman" w:hAnsi="Times New Roman" w:eastAsia="宋体" w:cs="Times New Roman"/>
          <w:color w:val="000000"/>
          <w:kern w:val="0"/>
          <w:sz w:val="24"/>
          <w:szCs w:val="24"/>
          <w:lang w:val="en-US" w:eastAsia="zh-CN" w:bidi="ar"/>
        </w:rPr>
        <w:t>=7 K，根据黑体轨迹计算出其色品坐标</w:t>
      </w:r>
      <w:r>
        <w:rPr>
          <w:rFonts w:hint="default" w:ascii="Times New Roman" w:hAnsi="Times New Roman" w:eastAsia="宋体" w:cs="Times New Roman"/>
          <w:i/>
          <w:iCs/>
          <w:color w:val="000000"/>
          <w:kern w:val="0"/>
          <w:sz w:val="24"/>
          <w:szCs w:val="24"/>
          <w:lang w:val="en-US" w:eastAsia="zh-CN" w:bidi="ar"/>
        </w:rPr>
        <w:t>x</w:t>
      </w:r>
      <w:r>
        <w:rPr>
          <w:rFonts w:hint="default" w:ascii="Times New Roman" w:hAnsi="Times New Roman" w:eastAsia="宋体" w:cs="Times New Roman"/>
          <w:color w:val="000000"/>
          <w:kern w:val="0"/>
          <w:sz w:val="24"/>
          <w:szCs w:val="24"/>
          <w:lang w:val="en-US" w:eastAsia="zh-CN" w:bidi="ar"/>
        </w:rPr>
        <w:t>和色品坐标</w:t>
      </w:r>
      <w:r>
        <w:rPr>
          <w:rFonts w:hint="default" w:ascii="Times New Roman" w:hAnsi="Times New Roman" w:eastAsia="宋体" w:cs="Times New Roman"/>
          <w:i/>
          <w:iCs/>
          <w:color w:val="000000"/>
          <w:kern w:val="0"/>
          <w:sz w:val="24"/>
          <w:szCs w:val="24"/>
          <w:lang w:val="en-US" w:eastAsia="zh-CN" w:bidi="ar"/>
        </w:rPr>
        <w:t>y</w:t>
      </w:r>
      <w:r>
        <w:rPr>
          <w:rFonts w:hint="default" w:ascii="Times New Roman" w:hAnsi="Times New Roman" w:eastAsia="宋体" w:cs="Times New Roman"/>
          <w:color w:val="000000"/>
          <w:kern w:val="0"/>
          <w:sz w:val="24"/>
          <w:szCs w:val="24"/>
          <w:lang w:val="en-US" w:eastAsia="zh-CN" w:bidi="ar"/>
        </w:rPr>
        <w:t>的偏差分布不大于0.000532和0.000155，考虑正态分布，计算时取其较大值作为不确定度分量，因此</w:t>
      </w:r>
    </w:p>
    <w:p w14:paraId="701FF80D">
      <w:pPr>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1</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w:rPr>
            <w:rFonts w:ascii="Cambria Math" w:hAnsi="Cambria Math"/>
            <w:szCs w:val="22"/>
          </w:rPr>
          <m:t>)</m:t>
        </m:r>
        <m:r>
          <m:rPr/>
          <w:rPr>
            <w:rFonts w:hint="default" w:ascii="Cambria Math" w:hAnsi="Cambria Math"/>
            <w:szCs w:val="22"/>
            <w:lang w:val="en-US" w:eastAsia="zh-CN"/>
          </w:rPr>
          <m:t>=</m:t>
        </m:r>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ascii="Cambria Math" w:hAnsi="Cambria Math"/>
                <w:szCs w:val="22"/>
              </w:rPr>
              <m:t>1</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y</m:t>
            </m:r>
            <m:ctrlPr>
              <w:rPr>
                <w:rFonts w:ascii="Cambria Math" w:hAnsi="Cambria Math"/>
              </w:rPr>
            </m:ctrlPr>
          </m:e>
          <m:sub>
            <m:r>
              <m:rPr>
                <m:sty m:val="p"/>
              </m:rPr>
              <w:rPr>
                <w:rFonts w:ascii="Cambria Math" w:hAnsi="Cambria Math"/>
              </w:rPr>
              <m:t>0</m:t>
            </m:r>
            <m:ctrlPr>
              <w:rPr>
                <w:rFonts w:ascii="Cambria Math" w:hAnsi="Cambria Math"/>
              </w:rPr>
            </m:ctrlPr>
          </m:sub>
        </m:sSub>
        <m:r>
          <m:rPr/>
          <w:rPr>
            <w:rFonts w:ascii="Cambria Math" w:hAnsi="Cambria Math"/>
            <w:szCs w:val="22"/>
          </w:rPr>
          <m:t>)=</m:t>
        </m:r>
        <m:f>
          <m:fPr>
            <m:ctrlPr>
              <w:rPr>
                <w:rFonts w:ascii="Cambria Math" w:hAnsi="Cambria Math"/>
                <w:i/>
                <w:szCs w:val="22"/>
              </w:rPr>
            </m:ctrlPr>
          </m:fPr>
          <m:num>
            <m:r>
              <m:rPr/>
              <w:rPr>
                <w:rFonts w:hint="default" w:ascii="Cambria Math" w:hAnsi="Cambria Math"/>
                <w:szCs w:val="22"/>
                <w:lang w:val="en-US" w:eastAsia="zh-CN"/>
              </w:rPr>
              <m:t>0.000532</m:t>
            </m:r>
            <m:ctrlPr>
              <w:rPr>
                <w:rFonts w:ascii="Cambria Math" w:hAnsi="Cambria Math"/>
                <w:i/>
                <w:szCs w:val="22"/>
              </w:rPr>
            </m:ctrlPr>
          </m:num>
          <m:den>
            <m:r>
              <m:rPr/>
              <w:rPr>
                <w:rFonts w:hint="default" w:ascii="Cambria Math" w:hAnsi="Cambria Math"/>
                <w:szCs w:val="22"/>
                <w:lang w:val="en-US" w:eastAsia="zh-CN"/>
              </w:rPr>
              <m:t>2</m:t>
            </m:r>
            <m:ctrlPr>
              <w:rPr>
                <w:rFonts w:ascii="Cambria Math" w:hAnsi="Cambria Math"/>
                <w:i/>
                <w:szCs w:val="22"/>
              </w:rPr>
            </m:ctrlPr>
          </m:den>
        </m:f>
        <m:r>
          <m:rPr/>
          <w:rPr>
            <w:rFonts w:hint="default" w:ascii="Cambria Math" w:hAnsi="Cambria Math"/>
            <w:szCs w:val="22"/>
            <w:lang w:val="en-US" w:eastAsia="zh-CN"/>
          </w:rPr>
          <m:t>=</m:t>
        </m:r>
      </m:oMath>
      <w:r>
        <w:rPr>
          <w:rFonts w:hint="eastAsia" w:hAnsi="Cambria Math"/>
          <w:i w:val="0"/>
          <w:szCs w:val="22"/>
          <w:lang w:val="en-US" w:eastAsia="zh-CN"/>
        </w:rPr>
        <w:t>0.00027</w:t>
      </w:r>
      <w:r>
        <w:rPr>
          <w:rFonts w:hint="eastAsia" w:hAnsi="Cambria Math"/>
          <w:szCs w:val="22"/>
        </w:rPr>
        <w:t>，B类方法评定。</w:t>
      </w:r>
    </w:p>
    <w:p w14:paraId="277A5F48">
      <w:pPr>
        <w:rPr>
          <w:rFonts w:hint="default" w:ascii="宋体" w:hAnsi="宋体" w:eastAsia="宋体" w:cs="宋体"/>
          <w:color w:val="000000"/>
          <w:kern w:val="0"/>
          <w:sz w:val="22"/>
          <w:szCs w:val="22"/>
          <w:lang w:val="en-US" w:eastAsia="zh-CN" w:bidi="ar"/>
        </w:rPr>
      </w:pPr>
    </w:p>
    <w:p w14:paraId="3D887D55">
      <w:pPr>
        <w:rPr>
          <w:rFonts w:hint="eastAsia"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B.</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highlight w:val="none"/>
          <w:lang w:val="en-US" w:eastAsia="zh-CN"/>
        </w:rPr>
        <w:t>2.</w:t>
      </w:r>
      <w:r>
        <w:rPr>
          <w:rFonts w:hint="eastAsia" w:eastAsia="宋体" w:cs="Times New Roman"/>
          <w:sz w:val="24"/>
          <w:szCs w:val="24"/>
          <w:highlight w:val="none"/>
          <w:lang w:val="en-US" w:eastAsia="zh-CN"/>
        </w:rPr>
        <w:t>2 测量重复性</w:t>
      </w:r>
    </w:p>
    <w:p w14:paraId="2679A92F">
      <w:pPr>
        <w:ind w:firstLine="420" w:firstLineChars="0"/>
        <w:rPr>
          <w:rFonts w:hint="eastAsia" w:eastAsia="宋体" w:cs="Times New Roman"/>
          <w:sz w:val="24"/>
          <w:szCs w:val="24"/>
          <w:highlight w:val="none"/>
          <w:lang w:val="en-US" w:eastAsia="zh-CN"/>
        </w:rPr>
      </w:pPr>
      <w:r>
        <w:rPr>
          <w:rFonts w:hint="eastAsia" w:eastAsia="宋体" w:cs="Times New Roman"/>
          <w:sz w:val="24"/>
          <w:szCs w:val="24"/>
          <w:highlight w:val="none"/>
          <w:lang w:val="en-US" w:eastAsia="zh-CN"/>
        </w:rPr>
        <w:t>光谱辐射亮度计对Mini LED显示屏重复测量10次，色品坐标的结果是</w:t>
      </w:r>
    </w:p>
    <w:p w14:paraId="4B458241">
      <w:pPr>
        <w:pStyle w:val="4"/>
        <w:jc w:val="center"/>
        <w:rPr>
          <w:rFonts w:eastAsia="宋体"/>
        </w:rPr>
      </w:pPr>
      <w:r>
        <w:t xml:space="preserve">表 </w:t>
      </w:r>
      <w:r>
        <w:rPr>
          <w:rFonts w:hint="eastAsia"/>
          <w:lang w:val="en-US" w:eastAsia="zh-CN"/>
        </w:rPr>
        <w:t>B.2测量重复性</w:t>
      </w:r>
      <w:r>
        <w:rPr>
          <w:rFonts w:hint="eastAsia"/>
        </w:rPr>
        <w:t>结果</w:t>
      </w:r>
    </w:p>
    <w:tbl>
      <w:tblPr>
        <w:tblStyle w:val="8"/>
        <w:tblW w:w="490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44"/>
        <w:gridCol w:w="1551"/>
        <w:gridCol w:w="1712"/>
      </w:tblGrid>
      <w:tr w14:paraId="4719D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D29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测量次数</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AED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色品坐标x</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1A5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色品坐标y</w:t>
            </w:r>
          </w:p>
        </w:tc>
      </w:tr>
      <w:tr w14:paraId="53BAF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14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993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0.3004</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784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0.3192</w:t>
            </w:r>
          </w:p>
        </w:tc>
      </w:tr>
      <w:tr w14:paraId="70F86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28A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822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0.3004</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C5E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0.3191</w:t>
            </w:r>
          </w:p>
        </w:tc>
      </w:tr>
      <w:tr w14:paraId="2CAEE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7DB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C3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0.3004</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9D6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0.3192</w:t>
            </w:r>
          </w:p>
        </w:tc>
      </w:tr>
      <w:tr w14:paraId="0C75A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471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2B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00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0.3191</w:t>
            </w:r>
          </w:p>
        </w:tc>
      </w:tr>
      <w:tr w14:paraId="4684B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924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20B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0.3004</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562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0.3191</w:t>
            </w:r>
          </w:p>
        </w:tc>
      </w:tr>
      <w:tr w14:paraId="49D9D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7CA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F6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2C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0.3192</w:t>
            </w:r>
          </w:p>
        </w:tc>
      </w:tr>
      <w:tr w14:paraId="4B23E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DBC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58A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E63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0.3192</w:t>
            </w:r>
          </w:p>
        </w:tc>
      </w:tr>
      <w:tr w14:paraId="7766A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C27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477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B6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0.3192</w:t>
            </w:r>
          </w:p>
        </w:tc>
      </w:tr>
      <w:tr w14:paraId="3CBD0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2CE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816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0.3002</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64B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0.3191</w:t>
            </w:r>
          </w:p>
        </w:tc>
      </w:tr>
      <w:tr w14:paraId="357BD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96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60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22B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0.3192</w:t>
            </w:r>
          </w:p>
        </w:tc>
      </w:tr>
      <w:tr w14:paraId="11FD4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8C8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平均值</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E51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0.30033</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F86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0.31916</w:t>
            </w:r>
          </w:p>
        </w:tc>
      </w:tr>
      <w:tr w14:paraId="3452D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720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实验标准偏差</w:t>
            </w:r>
          </w:p>
        </w:tc>
        <w:tc>
          <w:tcPr>
            <w:tcW w:w="15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27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0.00007 </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993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0.00005 </w:t>
            </w:r>
          </w:p>
        </w:tc>
      </w:tr>
    </w:tbl>
    <w:p w14:paraId="5604620D">
      <w:pPr>
        <w:ind w:firstLine="420" w:firstLineChars="0"/>
        <w:rPr>
          <w:rFonts w:hAnsi="Cambria Math"/>
          <w:szCs w:val="22"/>
        </w:rPr>
      </w:pPr>
      <w:r>
        <w:rPr>
          <w:rFonts w:hint="eastAsia" w:hAnsi="Cambria Math"/>
          <w:szCs w:val="22"/>
        </w:rPr>
        <w:t>使用贝塞尔公式计算的光通量常数平均值的相对实验室标准差，用A类方法评定</w:t>
      </w:r>
      <w:r>
        <w:rPr>
          <w:rFonts w:hint="eastAsia" w:hAnsi="Cambria Math"/>
          <w:szCs w:val="22"/>
          <w:lang w:val="en-US" w:eastAsia="zh-CN"/>
        </w:rPr>
        <w:t>色品坐标</w:t>
      </w:r>
      <m:oMath>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hAnsi="Cambria Math"/>
          <w:i w:val="0"/>
          <w:lang w:val="en-US" w:eastAsia="zh-CN"/>
        </w:rPr>
        <w:t>和</w:t>
      </w:r>
      <m:oMath>
        <m:sSub>
          <m:sSubPr>
            <m:ctrlPr>
              <w:rPr>
                <w:rFonts w:ascii="Cambria Math" w:hAnsi="Cambria Math"/>
              </w:rPr>
            </m:ctrlPr>
          </m:sSubPr>
          <m:e>
            <m:r>
              <m:rPr/>
              <w:rPr>
                <w:rFonts w:hint="default" w:ascii="Cambria Math" w:hAnsi="Cambria Math"/>
                <w:lang w:val="en-US" w:eastAsia="zh-CN"/>
              </w:rPr>
              <m:t>y</m:t>
            </m:r>
            <m:ctrlPr>
              <w:rPr>
                <w:rFonts w:ascii="Cambria Math" w:hAnsi="Cambria Math"/>
              </w:rPr>
            </m:ctrlPr>
          </m:e>
          <m:sub>
            <m:r>
              <m:rPr>
                <m:sty m:val="p"/>
              </m:rPr>
              <w:rPr>
                <w:rFonts w:ascii="Cambria Math" w:hAnsi="Cambria Math"/>
              </w:rPr>
              <m:t>0</m:t>
            </m:r>
            <m:ctrlPr>
              <w:rPr>
                <w:rFonts w:ascii="Cambria Math" w:hAnsi="Cambria Math"/>
              </w:rPr>
            </m:ctrlPr>
          </m:sub>
        </m:sSub>
      </m:oMath>
      <w:r>
        <w:rPr>
          <w:rFonts w:hint="eastAsia" w:hAnsi="Cambria Math"/>
          <w:i w:val="0"/>
          <w:lang w:val="en-US" w:eastAsia="zh-CN"/>
        </w:rPr>
        <w:t>读数</w:t>
      </w:r>
      <w:r>
        <w:rPr>
          <w:rFonts w:hint="eastAsia" w:hAnsi="Cambria Math"/>
          <w:szCs w:val="22"/>
        </w:rPr>
        <w:t>的</w:t>
      </w:r>
      <w:r>
        <w:rPr>
          <w:rFonts w:hint="eastAsia" w:hAnsi="Cambria Math"/>
          <w:szCs w:val="22"/>
          <w:lang w:val="en-US" w:eastAsia="zh-CN"/>
        </w:rPr>
        <w:t>重复性影响，并取其较大值作</w:t>
      </w:r>
      <w:r>
        <w:rPr>
          <w:rFonts w:hint="eastAsia" w:hAnsi="Cambria Math"/>
          <w:szCs w:val="22"/>
        </w:rPr>
        <w:t>为标准不确定度</w:t>
      </w:r>
    </w:p>
    <w:p w14:paraId="26059DAD">
      <w:pPr>
        <w:ind w:firstLine="480" w:firstLineChars="200"/>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2</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w:rPr>
            <w:rFonts w:ascii="Cambria Math" w:hAnsi="Cambria Math"/>
            <w:szCs w:val="22"/>
          </w:rPr>
          <m:t>)</m:t>
        </m:r>
        <m:r>
          <m:rPr/>
          <w:rPr>
            <w:rFonts w:hint="eastAsia" w:ascii="Cambria Math" w:hAnsi="Cambria Math"/>
            <w:szCs w:val="22"/>
            <w:lang w:val="en-US" w:eastAsia="zh-CN"/>
          </w:rPr>
          <m:t>=</m:t>
        </m:r>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2</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y</m:t>
            </m:r>
            <m:ctrlPr>
              <w:rPr>
                <w:rFonts w:ascii="Cambria Math" w:hAnsi="Cambria Math"/>
              </w:rPr>
            </m:ctrlPr>
          </m:e>
          <m:sub>
            <m:r>
              <m:rPr>
                <m:sty m:val="p"/>
              </m:rPr>
              <w:rPr>
                <w:rFonts w:ascii="Cambria Math" w:hAnsi="Cambria Math"/>
              </w:rPr>
              <m:t>0</m:t>
            </m:r>
            <m:ctrlPr>
              <w:rPr>
                <w:rFonts w:ascii="Cambria Math" w:hAnsi="Cambria Math"/>
              </w:rPr>
            </m:ctrlPr>
          </m:sub>
        </m:sSub>
        <m:r>
          <m:rPr/>
          <w:rPr>
            <w:rFonts w:ascii="Cambria Math" w:hAnsi="Cambria Math"/>
            <w:szCs w:val="22"/>
          </w:rPr>
          <m:t>)</m:t>
        </m:r>
        <m:r>
          <m:rPr/>
          <w:rPr>
            <w:rFonts w:hint="eastAsia" w:ascii="Cambria Math" w:hAnsi="Cambria Math"/>
            <w:szCs w:val="22"/>
            <w:lang w:val="en-US" w:eastAsia="zh-CN"/>
          </w:rPr>
          <m:t>=</m:t>
        </m:r>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00007</m:t>
        </m:r>
      </m:oMath>
      <w:r>
        <w:rPr>
          <w:rFonts w:hint="eastAsia" w:hAnsi="Cambria Math"/>
          <w:szCs w:val="22"/>
        </w:rPr>
        <w:t>，</w:t>
      </w:r>
      <w:r>
        <w:rPr>
          <w:rFonts w:hint="eastAsia" w:hAnsi="Cambria Math"/>
          <w:szCs w:val="22"/>
          <w:lang w:val="en-US" w:eastAsia="zh-CN"/>
        </w:rPr>
        <w:t>A</w:t>
      </w:r>
      <w:r>
        <w:rPr>
          <w:rFonts w:hint="eastAsia" w:hAnsi="Cambria Math"/>
          <w:szCs w:val="22"/>
        </w:rPr>
        <w:t>类方法评定。</w:t>
      </w:r>
    </w:p>
    <w:p w14:paraId="07FBB768">
      <w:pPr>
        <w:adjustRightInd w:val="0"/>
        <w:snapToGrid w:val="0"/>
        <w:jc w:val="both"/>
        <w:rPr>
          <w:rFonts w:hint="default"/>
          <w:lang w:val="en-US" w:eastAsia="zh-CN"/>
        </w:rPr>
      </w:pPr>
    </w:p>
    <w:p w14:paraId="07807CD2">
      <w:pPr>
        <w:rPr>
          <w:rFonts w:hint="eastAsia"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B.</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highlight w:val="none"/>
          <w:lang w:val="en-US" w:eastAsia="zh-CN"/>
        </w:rPr>
        <w:t>2.</w:t>
      </w:r>
      <w:r>
        <w:rPr>
          <w:rFonts w:hint="eastAsia" w:eastAsia="宋体" w:cs="Times New Roman"/>
          <w:sz w:val="24"/>
          <w:szCs w:val="24"/>
          <w:highlight w:val="none"/>
          <w:lang w:val="en-US" w:eastAsia="zh-CN"/>
        </w:rPr>
        <w:t>3 LED显示屏的短期复现性</w:t>
      </w:r>
    </w:p>
    <w:p w14:paraId="55881E87">
      <w:pPr>
        <w:ind w:firstLine="420" w:firstLineChars="0"/>
        <w:rPr>
          <w:rFonts w:hAnsi="Cambria Math"/>
          <w:szCs w:val="22"/>
        </w:rPr>
      </w:pPr>
      <w:r>
        <w:rPr>
          <w:rFonts w:hint="eastAsia" w:hAnsi="Cambria Math"/>
          <w:szCs w:val="22"/>
          <w:lang w:val="en-US" w:eastAsia="zh-CN"/>
        </w:rPr>
        <w:t>Mini LED显示屏</w:t>
      </w:r>
      <w:r>
        <w:rPr>
          <w:rFonts w:hint="eastAsia" w:hAnsi="Cambria Math"/>
          <w:szCs w:val="22"/>
        </w:rPr>
        <w:t>在重复点燃，</w:t>
      </w:r>
      <w:r>
        <w:rPr>
          <w:rFonts w:hint="eastAsia" w:hAnsi="Cambria Math"/>
          <w:szCs w:val="22"/>
          <w:lang w:val="en-US" w:eastAsia="zh-CN"/>
        </w:rPr>
        <w:t>受环境温度和自身重复性等因素影响，</w:t>
      </w:r>
      <w:r>
        <w:rPr>
          <w:rFonts w:hint="eastAsia" w:hAnsi="Cambria Math"/>
          <w:szCs w:val="22"/>
        </w:rPr>
        <w:t>其实际</w:t>
      </w:r>
      <w:r>
        <w:rPr>
          <w:rFonts w:hint="eastAsia" w:hAnsi="Cambria Math"/>
          <w:szCs w:val="22"/>
          <w:lang w:val="en-US" w:eastAsia="zh-CN"/>
        </w:rPr>
        <w:t>色品坐标值</w:t>
      </w:r>
      <w:r>
        <w:rPr>
          <w:rFonts w:hint="eastAsia" w:hAnsi="Cambria Math"/>
          <w:szCs w:val="22"/>
        </w:rPr>
        <w:t>有一定起伏，根据经验，对于被测灯，其量值变化范围不超过</w:t>
      </w:r>
      <w:r>
        <w:rPr>
          <w:rFonts w:hint="eastAsia" w:hAnsi="Cambria Math"/>
          <w:lang w:val="en-US" w:eastAsia="zh-CN"/>
        </w:rPr>
        <w:t>±</w:t>
      </w:r>
      <w:r>
        <w:rPr>
          <w:rFonts w:hint="eastAsia" w:hAnsi="Cambria Math"/>
          <w:szCs w:val="22"/>
          <w:lang w:val="en-US" w:eastAsia="zh-CN"/>
        </w:rPr>
        <w:t>0.0010</w:t>
      </w:r>
      <w:r>
        <w:rPr>
          <w:rFonts w:hint="eastAsia" w:hAnsi="Cambria Math"/>
          <w:szCs w:val="22"/>
          <w:lang w:eastAsia="zh-CN"/>
        </w:rPr>
        <w:t>。</w:t>
      </w:r>
      <w:r>
        <w:rPr>
          <w:rFonts w:hint="eastAsia" w:hAnsi="Cambria Math"/>
          <w:szCs w:val="22"/>
          <w:lang w:val="en-US" w:eastAsia="zh-CN"/>
        </w:rPr>
        <w:t>假设其</w:t>
      </w:r>
      <w:r>
        <w:rPr>
          <w:rFonts w:hint="eastAsia" w:hAnsi="Cambria Math"/>
          <w:szCs w:val="22"/>
        </w:rPr>
        <w:t>均匀分布</w:t>
      </w:r>
      <w:r>
        <w:rPr>
          <w:rFonts w:hint="eastAsia" w:hAnsi="Cambria Math"/>
          <w:szCs w:val="22"/>
          <w:lang w:eastAsia="zh-CN"/>
        </w:rPr>
        <w:t>，</w:t>
      </w:r>
      <w:r>
        <w:rPr>
          <w:rFonts w:hint="eastAsia" w:hAnsi="Cambria Math"/>
          <w:szCs w:val="22"/>
          <w:lang w:val="en-US" w:eastAsia="zh-CN"/>
        </w:rPr>
        <w:t>复现性</w:t>
      </w:r>
      <w:r>
        <w:rPr>
          <w:rFonts w:hint="eastAsia" w:hAnsi="Cambria Math"/>
          <w:szCs w:val="22"/>
        </w:rPr>
        <w:t>引入的不确定度是</w:t>
      </w:r>
    </w:p>
    <w:p w14:paraId="7C9A0B94">
      <w:pPr>
        <w:ind w:left="420"/>
        <w:jc w:val="center"/>
        <w:rPr>
          <w:rFonts w:hAnsi="Cambria Math"/>
          <w:szCs w:val="22"/>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3</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ascii="Cambria Math" w:hAnsi="Cambria Math"/>
              </w:rPr>
              <m:t>x</m:t>
            </m:r>
            <m:ctrlPr>
              <w:rPr>
                <w:rFonts w:ascii="Cambria Math" w:hAnsi="Cambria Math"/>
              </w:rPr>
            </m:ctrlPr>
          </m:e>
          <m:sub>
            <m:r>
              <m:rPr>
                <m:sty m:val="p"/>
              </m:rPr>
              <w:rPr>
                <w:rFonts w:ascii="Cambria Math" w:hAnsi="Cambria Math"/>
              </w:rPr>
              <m:t>0</m:t>
            </m:r>
            <m:ctrlPr>
              <w:rPr>
                <w:rFonts w:ascii="Cambria Math" w:hAnsi="Cambria Math"/>
              </w:rPr>
            </m:ctrlPr>
          </m:sub>
        </m:sSub>
        <m:r>
          <m:rPr/>
          <w:rPr>
            <w:rFonts w:ascii="Cambria Math" w:hAnsi="Cambria Math"/>
            <w:szCs w:val="22"/>
          </w:rPr>
          <m:t>)</m:t>
        </m:r>
        <m:r>
          <m:rPr/>
          <w:rPr>
            <w:rFonts w:hint="eastAsia" w:ascii="Cambria Math" w:hAnsi="Cambria Math"/>
            <w:szCs w:val="22"/>
            <w:lang w:val="en-US" w:eastAsia="zh-CN"/>
          </w:rPr>
          <m:t>=</m:t>
        </m:r>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3</m:t>
            </m:r>
            <m:ctrlPr>
              <w:rPr>
                <w:rFonts w:ascii="Cambria Math" w:hAnsi="Cambria Math"/>
                <w:i/>
                <w:szCs w:val="22"/>
              </w:rPr>
            </m:ctrlPr>
          </m:sub>
        </m:sSub>
        <m:r>
          <m:rPr/>
          <w:rPr>
            <w:rFonts w:ascii="Cambria Math" w:hAnsi="Cambria Math"/>
            <w:szCs w:val="22"/>
          </w:rPr>
          <m:t>(</m:t>
        </m:r>
        <m:sSub>
          <m:sSubPr>
            <m:ctrlPr>
              <w:rPr>
                <w:rFonts w:ascii="Cambria Math" w:hAnsi="Cambria Math"/>
              </w:rPr>
            </m:ctrlPr>
          </m:sSubPr>
          <m:e>
            <m:r>
              <m:rPr/>
              <w:rPr>
                <w:rFonts w:hint="default" w:ascii="Cambria Math" w:hAnsi="Cambria Math"/>
                <w:lang w:val="en-US" w:eastAsia="zh-CN"/>
              </w:rPr>
              <m:t>y</m:t>
            </m:r>
            <m:ctrlPr>
              <w:rPr>
                <w:rFonts w:ascii="Cambria Math" w:hAnsi="Cambria Math"/>
              </w:rPr>
            </m:ctrlPr>
          </m:e>
          <m:sub>
            <m:r>
              <m:rPr>
                <m:sty m:val="p"/>
              </m:rPr>
              <w:rPr>
                <w:rFonts w:ascii="Cambria Math" w:hAnsi="Cambria Math"/>
              </w:rPr>
              <m:t>0</m:t>
            </m:r>
            <m:ctrlPr>
              <w:rPr>
                <w:rFonts w:ascii="Cambria Math" w:hAnsi="Cambria Math"/>
              </w:rPr>
            </m:ctrlPr>
          </m:sub>
        </m:sSub>
        <m:r>
          <m:rPr/>
          <w:rPr>
            <w:rFonts w:ascii="Cambria Math" w:hAnsi="Cambria Math"/>
            <w:szCs w:val="22"/>
          </w:rPr>
          <m:t>)</m:t>
        </m:r>
        <m:r>
          <m:rPr/>
          <w:rPr>
            <w:rFonts w:hint="eastAsia" w:ascii="Cambria Math" w:hAnsi="Cambria Math"/>
            <w:szCs w:val="22"/>
            <w:lang w:val="en-US" w:eastAsia="zh-CN"/>
          </w:rPr>
          <m:t>=</m:t>
        </m:r>
        <m:f>
          <m:fPr>
            <m:ctrlPr>
              <w:rPr>
                <w:rFonts w:ascii="Cambria Math" w:hAnsi="Cambria Math"/>
                <w:i/>
                <w:szCs w:val="22"/>
              </w:rPr>
            </m:ctrlPr>
          </m:fPr>
          <m:num>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0010</m:t>
            </m:r>
            <m:ctrlPr>
              <w:rPr>
                <w:rFonts w:ascii="Cambria Math" w:hAnsi="Cambria Math"/>
                <w:i/>
                <w:szCs w:val="22"/>
              </w:rPr>
            </m:ctrlPr>
          </m:num>
          <m:den>
            <m:rad>
              <m:radPr>
                <m:degHide m:val="1"/>
                <m:ctrlPr>
                  <w:rPr>
                    <w:rFonts w:hint="eastAsia" w:ascii="Cambria Math" w:hAnsi="Cambria Math"/>
                    <w:szCs w:val="22"/>
                  </w:rPr>
                </m:ctrlPr>
              </m:radPr>
              <m:deg>
                <m:ctrlPr>
                  <w:rPr>
                    <w:rFonts w:hint="eastAsia" w:ascii="Cambria Math" w:hAnsi="Cambria Math"/>
                    <w:szCs w:val="22"/>
                  </w:rPr>
                </m:ctrlPr>
              </m:deg>
              <m:e>
                <m:r>
                  <m:rPr>
                    <m:sty m:val="p"/>
                  </m:rPr>
                  <w:rPr>
                    <w:rFonts w:hint="eastAsia" w:ascii="Cambria Math" w:hAnsi="Cambria Math"/>
                    <w:szCs w:val="22"/>
                  </w:rPr>
                  <m:t>3</m:t>
                </m:r>
                <m:ctrlPr>
                  <w:rPr>
                    <w:rFonts w:hint="eastAsia" w:ascii="Cambria Math" w:hAnsi="Cambria Math"/>
                    <w:szCs w:val="22"/>
                  </w:rPr>
                </m:ctrlPr>
              </m:e>
            </m:rad>
            <m:ctrlPr>
              <w:rPr>
                <w:rFonts w:ascii="Cambria Math" w:hAnsi="Cambria Math"/>
                <w:i/>
                <w:szCs w:val="22"/>
              </w:rPr>
            </m:ctrlPr>
          </m:den>
        </m:f>
        <m:r>
          <m:rPr/>
          <w:rPr>
            <w:rFonts w:ascii="Cambria Math" w:hAnsi="Cambria Math"/>
            <w:szCs w:val="22"/>
          </w:rPr>
          <m:t>≈</m:t>
        </m:r>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0006</m:t>
        </m:r>
      </m:oMath>
      <w:r>
        <w:rPr>
          <w:rFonts w:hint="eastAsia" w:hAnsi="Cambria Math"/>
          <w:szCs w:val="22"/>
        </w:rPr>
        <w:t>，B类方法评定。</w:t>
      </w:r>
    </w:p>
    <w:p w14:paraId="573249D9">
      <w:pPr>
        <w:adjustRightInd w:val="0"/>
        <w:snapToGrid w:val="0"/>
        <w:ind w:firstLine="420" w:firstLineChars="0"/>
        <w:jc w:val="both"/>
        <w:rPr>
          <w:rFonts w:hint="default"/>
          <w:lang w:val="en-US" w:eastAsia="zh-CN"/>
        </w:rPr>
      </w:pPr>
    </w:p>
    <w:p w14:paraId="70E9F812">
      <w:pPr>
        <w:rPr>
          <w:rFonts w:hint="eastAsia"/>
          <w:sz w:val="24"/>
          <w:szCs w:val="22"/>
          <w:highlight w:val="none"/>
          <w:lang w:val="en-US" w:eastAsia="zh-CN"/>
        </w:rPr>
      </w:pPr>
      <w:r>
        <w:rPr>
          <w:rFonts w:hint="eastAsia" w:hAnsi="Cambria Math" w:cs="Times New Roman"/>
          <w:i w:val="0"/>
          <w:kern w:val="2"/>
          <w:sz w:val="24"/>
          <w:szCs w:val="24"/>
          <w:lang w:val="en-US" w:eastAsia="zh-CN" w:bidi="ar-SA"/>
        </w:rPr>
        <w:t>B.</w:t>
      </w:r>
      <w:r>
        <w:rPr>
          <w:rFonts w:hint="eastAsia"/>
          <w:lang w:val="en-US" w:eastAsia="zh-CN"/>
        </w:rPr>
        <w:t>2.</w:t>
      </w:r>
      <w:r>
        <w:rPr>
          <w:rFonts w:hint="eastAsia" w:hAnsi="Cambria Math" w:cs="Times New Roman"/>
          <w:i w:val="0"/>
          <w:kern w:val="2"/>
          <w:sz w:val="24"/>
          <w:szCs w:val="24"/>
          <w:lang w:val="en-US" w:eastAsia="zh-CN" w:bidi="ar-SA"/>
        </w:rPr>
        <w:t xml:space="preserve">3 </w:t>
      </w:r>
      <w:r>
        <w:rPr>
          <w:rFonts w:hint="eastAsia"/>
          <w:lang w:val="en-US" w:eastAsia="zh-CN"/>
        </w:rPr>
        <w:t>色品坐标修正量</w:t>
      </w:r>
      <m:oMath>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1, j</m:t>
            </m:r>
            <m:ctrlPr>
              <w:rPr>
                <w:rFonts w:ascii="Cambria Math" w:hAnsi="Cambria Math" w:cs="Cambria Math"/>
                <w:i/>
              </w:rPr>
            </m:ctrlPr>
          </m:sub>
        </m:sSub>
      </m:oMath>
      <w:r>
        <w:rPr>
          <w:rFonts w:hint="eastAsia" w:hAnsi="Cambria Math"/>
          <w:i w:val="0"/>
          <w:lang w:val="en-US" w:eastAsia="zh-CN"/>
        </w:rPr>
        <w:t>和</w:t>
      </w:r>
      <m:oMath>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2, j</m:t>
            </m:r>
            <m:ctrlPr>
              <w:rPr>
                <w:rFonts w:ascii="Cambria Math" w:hAnsi="Cambria Math" w:cs="Cambria Math"/>
                <w:i/>
              </w:rPr>
            </m:ctrlPr>
          </m:sub>
        </m:sSub>
      </m:oMath>
      <w:r>
        <w:rPr>
          <w:rFonts w:hint="eastAsia"/>
          <w:lang w:val="en-US" w:eastAsia="zh-CN"/>
        </w:rPr>
        <w:t>的不确定度分量</w:t>
      </w:r>
      <w:r>
        <w:rPr>
          <w:rFonts w:hint="eastAsia"/>
          <w:sz w:val="24"/>
          <w:szCs w:val="22"/>
          <w:highlight w:val="none"/>
          <w:lang w:val="en-US" w:eastAsia="zh-CN"/>
        </w:rPr>
        <w:t>评定</w:t>
      </w:r>
    </w:p>
    <w:p w14:paraId="2FE98E76">
      <w:pPr>
        <w:adjustRightInd w:val="0"/>
        <w:snapToGrid w:val="0"/>
        <w:jc w:val="both"/>
        <w:rPr>
          <w:rFonts w:hint="default" w:eastAsiaTheme="minorEastAsia"/>
          <w:lang w:val="en-US" w:eastAsia="zh-CN"/>
        </w:rPr>
      </w:pPr>
      <w:r>
        <w:rPr>
          <w:rFonts w:hint="default" w:ascii="Times New Roman" w:hAnsi="Times New Roman" w:eastAsia="宋体" w:cs="Times New Roman"/>
          <w:sz w:val="24"/>
          <w:szCs w:val="24"/>
          <w:highlight w:val="none"/>
          <w:lang w:val="en-US" w:eastAsia="zh-CN"/>
        </w:rPr>
        <w:t>B.</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lang w:val="en-US" w:eastAsia="zh-CN"/>
        </w:rPr>
        <w:t>.</w:t>
      </w:r>
      <w:r>
        <w:rPr>
          <w:rFonts w:hint="eastAsia" w:eastAsia="宋体"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w:t>
      </w:r>
      <w:r>
        <w:rPr>
          <w:rFonts w:hint="eastAsia" w:eastAsia="宋体" w:cs="Times New Roman"/>
          <w:sz w:val="24"/>
          <w:szCs w:val="24"/>
          <w:highlight w:val="none"/>
          <w:lang w:val="en-US" w:eastAsia="zh-CN"/>
        </w:rPr>
        <w:t>1 光谱亮度计的</w:t>
      </w:r>
      <w:r>
        <w:rPr>
          <w:rFonts w:hint="eastAsia" w:hAnsi="Cambria Math"/>
        </w:rPr>
        <w:t>波长偏离</w:t>
      </w:r>
      <w:r>
        <w:rPr>
          <w:rFonts w:hint="eastAsia" w:hAnsi="Cambria Math"/>
          <w:lang w:val="en-US" w:eastAsia="zh-CN"/>
        </w:rPr>
        <w:t>的影响</w:t>
      </w:r>
    </w:p>
    <w:p w14:paraId="26F70208">
      <w:pPr>
        <w:adjustRightInd w:val="0"/>
        <w:snapToGrid w:val="0"/>
        <w:ind w:firstLine="420" w:firstLineChars="0"/>
        <w:jc w:val="both"/>
        <w:rPr>
          <w:rFonts w:hint="eastAsia"/>
          <w:lang w:val="en-US" w:eastAsia="zh-CN"/>
        </w:rPr>
      </w:pPr>
      <w:r>
        <w:rPr>
          <w:rFonts w:hint="eastAsia"/>
          <w:lang w:val="en-US" w:eastAsia="zh-CN"/>
        </w:rPr>
        <w:t>如果采用严格的不确定度传播率方法计算波长偏离引入的不确定度是个十分复杂的计算。参考JJG211-2021 亮度计检定规程附录中相关章节的结论，在波长误差0.5 nm的条件下，色品坐标因波长误差引入的不确定度不超过0.0006。因此，</w:t>
      </w:r>
    </w:p>
    <w:p w14:paraId="4200056C">
      <w:pPr>
        <w:adjustRightInd w:val="0"/>
        <w:snapToGrid w:val="0"/>
        <w:ind w:firstLine="420" w:firstLineChars="0"/>
        <w:jc w:val="center"/>
        <w:rPr>
          <w:rFonts w:hint="default" w:eastAsiaTheme="minorEastAsia"/>
          <w:lang w:val="en-US" w:eastAsia="zh-CN"/>
        </w:rPr>
      </w:pPr>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4</m:t>
            </m:r>
            <m:ctrlPr>
              <w:rPr>
                <w:rFonts w:ascii="Cambria Math" w:hAnsi="Cambria Math"/>
                <w:i/>
                <w:szCs w:val="22"/>
              </w:rPr>
            </m:ctrlPr>
          </m:sub>
        </m:sSub>
        <m:r>
          <m:rPr/>
          <w:rPr>
            <w:rFonts w:ascii="Cambria Math" w:hAnsi="Cambria Math"/>
            <w:szCs w:val="22"/>
          </w:rPr>
          <m:t>(</m:t>
        </m:r>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 xml:space="preserve">1, </m:t>
            </m:r>
            <m:r>
              <m:rPr/>
              <w:rPr>
                <w:rFonts w:hint="default" w:ascii="Cambria Math" w:hAnsi="Cambria Math" w:cs="Cambria Math"/>
                <w:lang w:val="en-US" w:eastAsia="zh-CN"/>
              </w:rPr>
              <m:t>1</m:t>
            </m:r>
            <m:ctrlPr>
              <w:rPr>
                <w:rFonts w:ascii="Cambria Math" w:hAnsi="Cambria Math" w:cs="Cambria Math"/>
                <w:i/>
              </w:rPr>
            </m:ctrlPr>
          </m:sub>
        </m:sSub>
        <m:r>
          <m:rPr/>
          <w:rPr>
            <w:rFonts w:ascii="Cambria Math" w:hAnsi="Cambria Math"/>
            <w:szCs w:val="22"/>
          </w:rPr>
          <m:t>)</m:t>
        </m:r>
        <m:r>
          <m:rPr/>
          <w:rPr>
            <w:rFonts w:hint="eastAsia" w:ascii="Cambria Math" w:hAnsi="Cambria Math"/>
            <w:szCs w:val="22"/>
            <w:lang w:val="en-US" w:eastAsia="zh-CN"/>
          </w:rPr>
          <m:t>=</m:t>
        </m:r>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4</m:t>
            </m:r>
            <m:ctrlPr>
              <w:rPr>
                <w:rFonts w:ascii="Cambria Math" w:hAnsi="Cambria Math"/>
                <w:i/>
                <w:szCs w:val="22"/>
              </w:rPr>
            </m:ctrlPr>
          </m:sub>
        </m:sSub>
        <m:r>
          <m:rPr/>
          <w:rPr>
            <w:rFonts w:ascii="Cambria Math" w:hAnsi="Cambria Math"/>
            <w:szCs w:val="22"/>
          </w:rPr>
          <m:t>(</m:t>
        </m:r>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hint="default" w:ascii="Cambria Math" w:hAnsi="Cambria Math" w:cs="Cambria Math"/>
                <w:lang w:val="en-US" w:eastAsia="zh-CN"/>
              </w:rPr>
              <m:t>2</m:t>
            </m:r>
            <m:r>
              <m:rPr/>
              <w:rPr>
                <w:rFonts w:ascii="Cambria Math" w:hAnsi="Cambria Math" w:cs="Cambria Math"/>
              </w:rPr>
              <m:t xml:space="preserve">, </m:t>
            </m:r>
            <m:r>
              <m:rPr/>
              <w:rPr>
                <w:rFonts w:hint="default" w:ascii="Cambria Math" w:hAnsi="Cambria Math" w:cs="Cambria Math"/>
                <w:lang w:val="en-US" w:eastAsia="zh-CN"/>
              </w:rPr>
              <m:t>1</m:t>
            </m:r>
            <m:ctrlPr>
              <w:rPr>
                <w:rFonts w:ascii="Cambria Math" w:hAnsi="Cambria Math" w:cs="Cambria Math"/>
                <w:i/>
              </w:rPr>
            </m:ctrlPr>
          </m:sub>
        </m:sSub>
        <m:r>
          <m:rPr/>
          <w:rPr>
            <w:rFonts w:ascii="Cambria Math" w:hAnsi="Cambria Math"/>
            <w:szCs w:val="22"/>
          </w:rPr>
          <m:t>)</m:t>
        </m:r>
        <m:r>
          <m:rPr/>
          <w:rPr>
            <w:rFonts w:hint="eastAsia" w:ascii="Cambria Math" w:hAnsi="Cambria Math"/>
            <w:szCs w:val="22"/>
            <w:lang w:val="en-US" w:eastAsia="zh-CN"/>
          </w:rPr>
          <m:t>=</m:t>
        </m:r>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0006</m:t>
        </m:r>
      </m:oMath>
      <w:r>
        <w:rPr>
          <w:rFonts w:hint="eastAsia" w:hAnsi="Cambria Math"/>
          <w:szCs w:val="22"/>
        </w:rPr>
        <w:t>，B类方法评定。</w:t>
      </w:r>
    </w:p>
    <w:p w14:paraId="1827E9D0">
      <w:pPr>
        <w:adjustRightInd w:val="0"/>
        <w:snapToGrid w:val="0"/>
        <w:jc w:val="both"/>
        <w:rPr>
          <w:rFonts w:hint="default"/>
          <w:lang w:val="en-US" w:eastAsia="zh-CN"/>
        </w:rPr>
      </w:pPr>
    </w:p>
    <w:p w14:paraId="5DD7CF7D">
      <w:pPr>
        <w:adjustRightInd w:val="0"/>
        <w:snapToGrid w:val="0"/>
        <w:jc w:val="both"/>
        <w:rPr>
          <w:rFonts w:hint="default" w:eastAsiaTheme="minorEastAsia"/>
          <w:lang w:val="en-US" w:eastAsia="zh-CN"/>
        </w:rPr>
      </w:pPr>
      <w:r>
        <w:rPr>
          <w:rFonts w:hint="default" w:ascii="Times New Roman" w:hAnsi="Times New Roman" w:eastAsia="宋体" w:cs="Times New Roman"/>
          <w:sz w:val="24"/>
          <w:szCs w:val="24"/>
          <w:highlight w:val="none"/>
          <w:lang w:val="en-US" w:eastAsia="zh-CN"/>
        </w:rPr>
        <w:t>B.</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lang w:val="en-US" w:eastAsia="zh-CN"/>
        </w:rPr>
        <w:t>.</w:t>
      </w:r>
      <w:r>
        <w:rPr>
          <w:rFonts w:hint="eastAsia" w:eastAsia="宋体"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w:t>
      </w:r>
      <w:r>
        <w:rPr>
          <w:rFonts w:hint="eastAsia" w:eastAsia="宋体" w:cs="Times New Roman"/>
          <w:sz w:val="24"/>
          <w:szCs w:val="24"/>
          <w:highlight w:val="none"/>
          <w:lang w:val="en-US" w:eastAsia="zh-CN"/>
        </w:rPr>
        <w:t>2 光谱亮度计的</w:t>
      </w:r>
      <w:r>
        <w:rPr>
          <w:rFonts w:hint="eastAsia" w:hAnsi="Cambria Math" w:eastAsia="宋体"/>
          <w:lang w:val="en-US" w:eastAsia="zh-CN"/>
        </w:rPr>
        <w:t>带宽</w:t>
      </w:r>
      <w:r>
        <w:rPr>
          <w:rFonts w:hint="eastAsia" w:hAnsi="Cambria Math"/>
          <w:lang w:val="en-US" w:eastAsia="zh-CN"/>
        </w:rPr>
        <w:t>影响</w:t>
      </w:r>
    </w:p>
    <w:p w14:paraId="66D157CF">
      <w:pPr>
        <w:adjustRightInd w:val="0"/>
        <w:snapToGrid w:val="0"/>
        <w:ind w:firstLine="420" w:firstLineChars="0"/>
        <w:jc w:val="both"/>
        <w:rPr>
          <w:rFonts w:hint="default"/>
          <w:lang w:val="en-US" w:eastAsia="zh-CN"/>
        </w:rPr>
      </w:pPr>
      <w:r>
        <w:rPr>
          <w:rFonts w:hint="eastAsia"/>
          <w:lang w:val="en-US" w:eastAsia="zh-CN"/>
        </w:rPr>
        <w:t>根据国际照明委员会（International Commission on illumination，CIE）技术报告 CIE 214:2014 《仪器带宽函数和测量间隔对于光谱参数的影响》，测量仪器的带宽对色品坐标结果存在影响。根据经验，其影响偏差不大于</w:t>
      </w:r>
      <w:r>
        <w:rPr>
          <w:rFonts w:hint="eastAsia" w:hAnsi="Cambria Math"/>
          <w:lang w:val="en-US" w:eastAsia="zh-CN"/>
        </w:rPr>
        <w:t>±</w:t>
      </w:r>
      <w:r>
        <w:rPr>
          <w:rFonts w:hint="eastAsia"/>
          <w:lang w:val="en-US" w:eastAsia="zh-CN"/>
        </w:rPr>
        <w:t>0.0010，假设均匀分布，</w:t>
      </w:r>
      <w:r>
        <w:rPr>
          <w:rFonts w:hint="eastAsia" w:hAnsi="Cambria Math" w:eastAsia="宋体"/>
          <w:lang w:val="en-US" w:eastAsia="zh-CN"/>
        </w:rPr>
        <w:t>带宽</w:t>
      </w:r>
      <w:r>
        <w:rPr>
          <w:rFonts w:hint="eastAsia" w:hAnsi="Cambria Math"/>
          <w:lang w:val="en-US" w:eastAsia="zh-CN"/>
        </w:rPr>
        <w:t>影响引入的不确定度分量</w:t>
      </w:r>
    </w:p>
    <w:p w14:paraId="57808928">
      <w:pPr>
        <w:adjustRightInd w:val="0"/>
        <w:snapToGrid w:val="0"/>
        <w:jc w:val="both"/>
        <w:rPr>
          <w:rFonts w:hint="default"/>
          <w:lang w:val="en-US" w:eastAsia="zh-CN"/>
        </w:rPr>
      </w:pPr>
      <m:oMathPara>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4</m:t>
              </m:r>
              <m:ctrlPr>
                <w:rPr>
                  <w:rFonts w:ascii="Cambria Math" w:hAnsi="Cambria Math"/>
                  <w:i/>
                  <w:szCs w:val="22"/>
                </w:rPr>
              </m:ctrlPr>
            </m:sub>
          </m:sSub>
          <m:r>
            <m:rPr/>
            <w:rPr>
              <w:rFonts w:ascii="Cambria Math" w:hAnsi="Cambria Math"/>
              <w:szCs w:val="22"/>
            </w:rPr>
            <m:t>(</m:t>
          </m:r>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 xml:space="preserve">1, </m:t>
              </m:r>
              <m:r>
                <m:rPr/>
                <w:rPr>
                  <w:rFonts w:hint="default" w:ascii="Cambria Math" w:hAnsi="Cambria Math" w:cs="Cambria Math"/>
                  <w:lang w:val="en-US" w:eastAsia="zh-CN"/>
                </w:rPr>
                <m:t>2</m:t>
              </m:r>
              <m:ctrlPr>
                <w:rPr>
                  <w:rFonts w:ascii="Cambria Math" w:hAnsi="Cambria Math" w:cs="Cambria Math"/>
                  <w:i/>
                </w:rPr>
              </m:ctrlPr>
            </m:sub>
          </m:sSub>
          <m:r>
            <m:rPr/>
            <w:rPr>
              <w:rFonts w:ascii="Cambria Math" w:hAnsi="Cambria Math"/>
              <w:szCs w:val="22"/>
            </w:rPr>
            <m:t>)</m:t>
          </m:r>
          <m:r>
            <m:rPr/>
            <w:rPr>
              <w:rFonts w:hint="eastAsia" w:ascii="Cambria Math" w:hAnsi="Cambria Math"/>
              <w:szCs w:val="22"/>
              <w:lang w:val="en-US" w:eastAsia="zh-CN"/>
            </w:rPr>
            <m:t>=</m:t>
          </m:r>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4</m:t>
              </m:r>
              <m:ctrlPr>
                <w:rPr>
                  <w:rFonts w:ascii="Cambria Math" w:hAnsi="Cambria Math"/>
                  <w:i/>
                  <w:szCs w:val="22"/>
                </w:rPr>
              </m:ctrlPr>
            </m:sub>
          </m:sSub>
          <m:r>
            <m:rPr/>
            <w:rPr>
              <w:rFonts w:ascii="Cambria Math" w:hAnsi="Cambria Math"/>
              <w:szCs w:val="22"/>
            </w:rPr>
            <m:t>(</m:t>
          </m:r>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hint="default" w:ascii="Cambria Math" w:hAnsi="Cambria Math" w:cs="Cambria Math"/>
                  <w:lang w:val="en-US" w:eastAsia="zh-CN"/>
                </w:rPr>
                <m:t>2</m:t>
              </m:r>
              <m:r>
                <m:rPr/>
                <w:rPr>
                  <w:rFonts w:ascii="Cambria Math" w:hAnsi="Cambria Math" w:cs="Cambria Math"/>
                </w:rPr>
                <m:t xml:space="preserve">, </m:t>
              </m:r>
              <m:r>
                <m:rPr/>
                <w:rPr>
                  <w:rFonts w:hint="default" w:ascii="Cambria Math" w:hAnsi="Cambria Math" w:cs="Cambria Math"/>
                  <w:lang w:val="en-US" w:eastAsia="zh-CN"/>
                </w:rPr>
                <m:t>2</m:t>
              </m:r>
              <m:ctrlPr>
                <w:rPr>
                  <w:rFonts w:ascii="Cambria Math" w:hAnsi="Cambria Math" w:cs="Cambria Math"/>
                  <w:i/>
                </w:rPr>
              </m:ctrlPr>
            </m:sub>
          </m:sSub>
          <m:r>
            <m:rPr/>
            <w:rPr>
              <w:rFonts w:ascii="Cambria Math" w:hAnsi="Cambria Math"/>
              <w:szCs w:val="22"/>
            </w:rPr>
            <m:t>)</m:t>
          </m:r>
          <m:r>
            <m:rPr/>
            <w:rPr>
              <w:rFonts w:hint="eastAsia" w:ascii="Cambria Math" w:hAnsi="Cambria Math"/>
              <w:szCs w:val="22"/>
              <w:lang w:val="en-US" w:eastAsia="zh-CN"/>
            </w:rPr>
            <m:t>=</m:t>
          </m:r>
          <m:f>
            <m:fPr>
              <m:ctrlPr>
                <w:rPr>
                  <w:rFonts w:hint="eastAsia" w:ascii="Cambria Math" w:hAnsi="Cambria Math"/>
                  <w:i/>
                  <w:szCs w:val="22"/>
                  <w:lang w:val="en-US" w:eastAsia="zh-CN"/>
                </w:rPr>
              </m:ctrlPr>
            </m:fPr>
            <m:num>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0010</m:t>
              </m:r>
              <m:ctrlPr>
                <w:rPr>
                  <w:rFonts w:hint="eastAsia" w:ascii="Cambria Math" w:hAnsi="Cambria Math"/>
                  <w:i/>
                  <w:szCs w:val="22"/>
                  <w:lang w:val="en-US" w:eastAsia="zh-CN"/>
                </w:rPr>
              </m:ctrlPr>
            </m:num>
            <m:den>
              <m:rad>
                <m:radPr>
                  <m:degHide m:val="1"/>
                  <m:ctrlPr>
                    <w:rPr>
                      <w:rFonts w:hint="eastAsia" w:ascii="Cambria Math" w:hAnsi="Cambria Math"/>
                      <w:szCs w:val="22"/>
                    </w:rPr>
                  </m:ctrlPr>
                </m:radPr>
                <m:deg>
                  <m:ctrlPr>
                    <w:rPr>
                      <w:rFonts w:hint="eastAsia" w:ascii="Cambria Math" w:hAnsi="Cambria Math"/>
                      <w:szCs w:val="22"/>
                    </w:rPr>
                  </m:ctrlPr>
                </m:deg>
                <m:e>
                  <m:r>
                    <m:rPr>
                      <m:sty m:val="p"/>
                    </m:rPr>
                    <w:rPr>
                      <w:rFonts w:hint="eastAsia" w:ascii="Cambria Math" w:hAnsi="Cambria Math"/>
                      <w:szCs w:val="22"/>
                    </w:rPr>
                    <m:t>3</m:t>
                  </m:r>
                  <m:ctrlPr>
                    <w:rPr>
                      <w:rFonts w:hint="eastAsia" w:ascii="Cambria Math" w:hAnsi="Cambria Math"/>
                      <w:szCs w:val="22"/>
                    </w:rPr>
                  </m:ctrlPr>
                </m:e>
              </m:rad>
              <m:ctrlPr>
                <w:rPr>
                  <w:rFonts w:hint="eastAsia" w:ascii="Cambria Math" w:hAnsi="Cambria Math"/>
                  <w:i/>
                  <w:szCs w:val="22"/>
                  <w:lang w:val="en-US" w:eastAsia="zh-CN"/>
                </w:rPr>
              </m:ctrlPr>
            </m:den>
          </m:f>
          <m:r>
            <m:rPr/>
            <w:rPr>
              <w:rFonts w:hint="eastAsia" w:ascii="Cambria Math" w:hAnsi="Cambria Math"/>
              <w:szCs w:val="22"/>
              <w:lang w:val="en-US" w:eastAsia="zh-CN"/>
            </w:rPr>
            <m:t>=</m:t>
          </m:r>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0006</m:t>
          </m:r>
        </m:oMath>
      </m:oMathPara>
    </w:p>
    <w:p w14:paraId="4A82EF3B">
      <w:pPr>
        <w:adjustRightInd w:val="0"/>
        <w:snapToGrid w:val="0"/>
        <w:jc w:val="both"/>
        <w:rPr>
          <w:rFonts w:hint="default"/>
          <w:lang w:val="en-US" w:eastAsia="zh-CN"/>
        </w:rPr>
      </w:pPr>
    </w:p>
    <w:p w14:paraId="14C585DC">
      <w:pPr>
        <w:adjustRightInd w:val="0"/>
        <w:snapToGrid w:val="0"/>
        <w:jc w:val="both"/>
        <w:rPr>
          <w:rFonts w:hint="default" w:eastAsiaTheme="minorEastAsia"/>
          <w:lang w:val="en-US" w:eastAsia="zh-CN"/>
        </w:rPr>
      </w:pPr>
      <w:r>
        <w:rPr>
          <w:rFonts w:hint="default" w:ascii="Times New Roman" w:hAnsi="Times New Roman" w:eastAsia="宋体" w:cs="Times New Roman"/>
          <w:sz w:val="24"/>
          <w:szCs w:val="24"/>
          <w:highlight w:val="none"/>
          <w:lang w:val="en-US" w:eastAsia="zh-CN"/>
        </w:rPr>
        <w:t>B.</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lang w:val="en-US" w:eastAsia="zh-CN"/>
        </w:rPr>
        <w:t>.</w:t>
      </w:r>
      <w:r>
        <w:rPr>
          <w:rFonts w:hint="eastAsia" w:eastAsia="宋体"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w:t>
      </w:r>
      <w:r>
        <w:rPr>
          <w:rFonts w:hint="eastAsia" w:eastAsia="宋体" w:cs="Times New Roman"/>
          <w:sz w:val="24"/>
          <w:szCs w:val="24"/>
          <w:highlight w:val="none"/>
          <w:lang w:val="en-US" w:eastAsia="zh-CN"/>
        </w:rPr>
        <w:t>3 光谱亮度计的</w:t>
      </w:r>
      <w:r>
        <w:rPr>
          <w:rFonts w:hint="eastAsia" w:hAnsi="Cambria Math"/>
        </w:rPr>
        <w:t>非线性</w:t>
      </w:r>
      <w:r>
        <w:rPr>
          <w:rFonts w:hint="eastAsia" w:hAnsi="Cambria Math"/>
          <w:lang w:val="en-US" w:eastAsia="zh-CN"/>
        </w:rPr>
        <w:t>的影响</w:t>
      </w:r>
    </w:p>
    <w:p w14:paraId="44E0D716">
      <w:pPr>
        <w:adjustRightInd w:val="0"/>
        <w:snapToGrid w:val="0"/>
        <w:ind w:firstLine="420" w:firstLineChars="0"/>
        <w:jc w:val="both"/>
        <w:rPr>
          <w:rFonts w:hint="eastAsia" w:hAnsi="Cambria Math"/>
          <w:lang w:val="en-US" w:eastAsia="zh-CN"/>
        </w:rPr>
      </w:pPr>
      <w:r>
        <w:rPr>
          <w:rFonts w:hint="eastAsia"/>
          <w:lang w:val="en-US" w:eastAsia="zh-CN"/>
        </w:rPr>
        <w:t>光谱</w:t>
      </w:r>
      <w:r>
        <w:rPr>
          <w:rFonts w:hint="eastAsia" w:eastAsia="宋体" w:cs="Times New Roman"/>
          <w:sz w:val="24"/>
          <w:szCs w:val="24"/>
          <w:highlight w:val="none"/>
          <w:lang w:val="en-US" w:eastAsia="zh-CN"/>
        </w:rPr>
        <w:t>亮度计由于感光元件特性</w:t>
      </w:r>
      <w:r>
        <w:rPr>
          <w:rFonts w:hint="eastAsia" w:hAnsi="Cambria Math"/>
          <w:lang w:val="en-US" w:eastAsia="zh-CN"/>
        </w:rPr>
        <w:t>存在较显著的非线性效应。尽管亮度计在仪器设计上已进行非线性修正，但由于不同光谱区域的非线性特性差异等因素，无法彻底消除非线性的影响。根据经验，非线性对于</w:t>
      </w:r>
      <w:r>
        <w:rPr>
          <w:rFonts w:hint="eastAsia"/>
          <w:lang w:val="en-US" w:eastAsia="zh-CN"/>
        </w:rPr>
        <w:t>色品坐标的影响</w:t>
      </w:r>
      <w:r>
        <w:rPr>
          <w:rFonts w:hint="eastAsia" w:hAnsi="Cambria Math"/>
          <w:lang w:val="en-US" w:eastAsia="zh-CN"/>
        </w:rPr>
        <w:t>偏差不大于±0.0010，</w:t>
      </w:r>
      <w:r>
        <w:rPr>
          <w:rFonts w:hint="eastAsia"/>
          <w:lang w:val="en-US" w:eastAsia="zh-CN"/>
        </w:rPr>
        <w:t>假设均匀分布，</w:t>
      </w:r>
      <w:r>
        <w:rPr>
          <w:rFonts w:hint="eastAsia" w:hAnsi="Cambria Math"/>
          <w:lang w:val="en-US" w:eastAsia="zh-CN"/>
        </w:rPr>
        <w:t>非线性引入的不确定度分量是</w:t>
      </w:r>
    </w:p>
    <w:p w14:paraId="5F6209B9">
      <w:pPr>
        <w:adjustRightInd w:val="0"/>
        <w:snapToGrid w:val="0"/>
        <w:jc w:val="both"/>
        <w:rPr>
          <w:rFonts w:hint="default"/>
          <w:lang w:val="en-US" w:eastAsia="zh-CN"/>
        </w:rPr>
      </w:pPr>
      <m:oMathPara>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4</m:t>
              </m:r>
              <m:ctrlPr>
                <w:rPr>
                  <w:rFonts w:ascii="Cambria Math" w:hAnsi="Cambria Math"/>
                  <w:i/>
                  <w:szCs w:val="22"/>
                </w:rPr>
              </m:ctrlPr>
            </m:sub>
          </m:sSub>
          <m:r>
            <m:rPr/>
            <w:rPr>
              <w:rFonts w:ascii="Cambria Math" w:hAnsi="Cambria Math"/>
              <w:szCs w:val="22"/>
            </w:rPr>
            <m:t>(</m:t>
          </m:r>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 xml:space="preserve">1, </m:t>
              </m:r>
              <m:r>
                <m:rPr/>
                <w:rPr>
                  <w:rFonts w:hint="default" w:ascii="Cambria Math" w:hAnsi="Cambria Math" w:cs="Cambria Math"/>
                  <w:lang w:val="en-US" w:eastAsia="zh-CN"/>
                </w:rPr>
                <m:t>3</m:t>
              </m:r>
              <m:ctrlPr>
                <w:rPr>
                  <w:rFonts w:ascii="Cambria Math" w:hAnsi="Cambria Math" w:cs="Cambria Math"/>
                  <w:i/>
                </w:rPr>
              </m:ctrlPr>
            </m:sub>
          </m:sSub>
          <m:r>
            <m:rPr/>
            <w:rPr>
              <w:rFonts w:ascii="Cambria Math" w:hAnsi="Cambria Math"/>
              <w:szCs w:val="22"/>
            </w:rPr>
            <m:t>)</m:t>
          </m:r>
          <m:r>
            <m:rPr/>
            <w:rPr>
              <w:rFonts w:hint="eastAsia" w:ascii="Cambria Math" w:hAnsi="Cambria Math"/>
              <w:szCs w:val="22"/>
              <w:lang w:val="en-US" w:eastAsia="zh-CN"/>
            </w:rPr>
            <m:t>=</m:t>
          </m:r>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4</m:t>
              </m:r>
              <m:ctrlPr>
                <w:rPr>
                  <w:rFonts w:ascii="Cambria Math" w:hAnsi="Cambria Math"/>
                  <w:i/>
                  <w:szCs w:val="22"/>
                </w:rPr>
              </m:ctrlPr>
            </m:sub>
          </m:sSub>
          <m:r>
            <m:rPr/>
            <w:rPr>
              <w:rFonts w:ascii="Cambria Math" w:hAnsi="Cambria Math"/>
              <w:szCs w:val="22"/>
            </w:rPr>
            <m:t>(</m:t>
          </m:r>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hint="default" w:ascii="Cambria Math" w:hAnsi="Cambria Math" w:cs="Cambria Math"/>
                  <w:lang w:val="en-US" w:eastAsia="zh-CN"/>
                </w:rPr>
                <m:t>2</m:t>
              </m:r>
              <m:r>
                <m:rPr/>
                <w:rPr>
                  <w:rFonts w:ascii="Cambria Math" w:hAnsi="Cambria Math" w:cs="Cambria Math"/>
                </w:rPr>
                <m:t xml:space="preserve">, </m:t>
              </m:r>
              <m:r>
                <m:rPr/>
                <w:rPr>
                  <w:rFonts w:hint="default" w:ascii="Cambria Math" w:hAnsi="Cambria Math" w:cs="Cambria Math"/>
                  <w:lang w:val="en-US" w:eastAsia="zh-CN"/>
                </w:rPr>
                <m:t>3</m:t>
              </m:r>
              <m:ctrlPr>
                <w:rPr>
                  <w:rFonts w:ascii="Cambria Math" w:hAnsi="Cambria Math" w:cs="Cambria Math"/>
                  <w:i/>
                </w:rPr>
              </m:ctrlPr>
            </m:sub>
          </m:sSub>
          <m:r>
            <m:rPr/>
            <w:rPr>
              <w:rFonts w:ascii="Cambria Math" w:hAnsi="Cambria Math"/>
              <w:szCs w:val="22"/>
            </w:rPr>
            <m:t>)</m:t>
          </m:r>
          <m:r>
            <m:rPr/>
            <w:rPr>
              <w:rFonts w:hint="eastAsia" w:ascii="Cambria Math" w:hAnsi="Cambria Math"/>
              <w:szCs w:val="22"/>
              <w:lang w:val="en-US" w:eastAsia="zh-CN"/>
            </w:rPr>
            <m:t>=</m:t>
          </m:r>
          <m:f>
            <m:fPr>
              <m:ctrlPr>
                <w:rPr>
                  <w:rFonts w:hint="eastAsia" w:ascii="Cambria Math" w:hAnsi="Cambria Math"/>
                  <w:i/>
                  <w:szCs w:val="22"/>
                  <w:lang w:val="en-US" w:eastAsia="zh-CN"/>
                </w:rPr>
              </m:ctrlPr>
            </m:fPr>
            <m:num>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0005</m:t>
              </m:r>
              <m:ctrlPr>
                <w:rPr>
                  <w:rFonts w:hint="eastAsia" w:ascii="Cambria Math" w:hAnsi="Cambria Math"/>
                  <w:i/>
                  <w:szCs w:val="22"/>
                  <w:lang w:val="en-US" w:eastAsia="zh-CN"/>
                </w:rPr>
              </m:ctrlPr>
            </m:num>
            <m:den>
              <m:rad>
                <m:radPr>
                  <m:degHide m:val="1"/>
                  <m:ctrlPr>
                    <w:rPr>
                      <w:rFonts w:hint="eastAsia" w:ascii="Cambria Math" w:hAnsi="Cambria Math"/>
                      <w:szCs w:val="22"/>
                    </w:rPr>
                  </m:ctrlPr>
                </m:radPr>
                <m:deg>
                  <m:ctrlPr>
                    <w:rPr>
                      <w:rFonts w:hint="eastAsia" w:ascii="Cambria Math" w:hAnsi="Cambria Math"/>
                      <w:szCs w:val="22"/>
                    </w:rPr>
                  </m:ctrlPr>
                </m:deg>
                <m:e>
                  <m:r>
                    <m:rPr>
                      <m:sty m:val="p"/>
                    </m:rPr>
                    <w:rPr>
                      <w:rFonts w:hint="eastAsia" w:ascii="Cambria Math" w:hAnsi="Cambria Math"/>
                      <w:szCs w:val="22"/>
                    </w:rPr>
                    <m:t>3</m:t>
                  </m:r>
                  <m:ctrlPr>
                    <w:rPr>
                      <w:rFonts w:hint="eastAsia" w:ascii="Cambria Math" w:hAnsi="Cambria Math"/>
                      <w:szCs w:val="22"/>
                    </w:rPr>
                  </m:ctrlPr>
                </m:e>
              </m:rad>
              <m:ctrlPr>
                <w:rPr>
                  <w:rFonts w:hint="eastAsia" w:ascii="Cambria Math" w:hAnsi="Cambria Math"/>
                  <w:i/>
                  <w:szCs w:val="22"/>
                  <w:lang w:val="en-US" w:eastAsia="zh-CN"/>
                </w:rPr>
              </m:ctrlPr>
            </m:den>
          </m:f>
          <m:r>
            <m:rPr/>
            <w:rPr>
              <w:rFonts w:hint="eastAsia" w:ascii="Cambria Math" w:hAnsi="Cambria Math"/>
              <w:szCs w:val="22"/>
              <w:lang w:val="en-US" w:eastAsia="zh-CN"/>
            </w:rPr>
            <m:t>=</m:t>
          </m:r>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0003</m:t>
          </m:r>
        </m:oMath>
      </m:oMathPara>
    </w:p>
    <w:p w14:paraId="37938AEC">
      <w:pPr>
        <w:adjustRightInd w:val="0"/>
        <w:snapToGrid w:val="0"/>
        <w:ind w:firstLine="420" w:firstLineChars="0"/>
        <w:jc w:val="both"/>
        <w:rPr>
          <w:rFonts w:hint="eastAsia" w:hAnsi="Cambria Math"/>
          <w:lang w:val="en-US" w:eastAsia="zh-CN"/>
        </w:rPr>
      </w:pPr>
    </w:p>
    <w:p w14:paraId="6AE66A8A">
      <w:pPr>
        <w:adjustRightInd w:val="0"/>
        <w:snapToGrid w:val="0"/>
        <w:jc w:val="both"/>
        <w:rPr>
          <w:rFonts w:hint="default" w:eastAsiaTheme="minorEastAsia"/>
          <w:lang w:val="en-US" w:eastAsia="zh-CN"/>
        </w:rPr>
      </w:pPr>
      <w:r>
        <w:rPr>
          <w:rFonts w:hint="default" w:ascii="Times New Roman" w:hAnsi="Times New Roman" w:eastAsia="宋体" w:cs="Times New Roman"/>
          <w:sz w:val="24"/>
          <w:szCs w:val="24"/>
          <w:highlight w:val="none"/>
          <w:lang w:val="en-US" w:eastAsia="zh-CN"/>
        </w:rPr>
        <w:t>B.</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lang w:val="en-US" w:eastAsia="zh-CN"/>
        </w:rPr>
        <w:t>.</w:t>
      </w:r>
      <w:r>
        <w:rPr>
          <w:rFonts w:hint="eastAsia" w:eastAsia="宋体"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w:t>
      </w:r>
      <w:r>
        <w:rPr>
          <w:rFonts w:hint="eastAsia" w:eastAsia="宋体" w:cs="Times New Roman"/>
          <w:sz w:val="24"/>
          <w:szCs w:val="24"/>
          <w:highlight w:val="none"/>
          <w:lang w:val="en-US" w:eastAsia="zh-CN"/>
        </w:rPr>
        <w:t>4 光谱亮度计的</w:t>
      </w:r>
      <w:r>
        <w:rPr>
          <w:rFonts w:hint="eastAsia" w:hAnsi="Cambria Math" w:eastAsia="宋体"/>
          <w:lang w:val="en-US" w:eastAsia="zh-CN"/>
        </w:rPr>
        <w:t>杂散光</w:t>
      </w:r>
      <w:r>
        <w:rPr>
          <w:rFonts w:hint="eastAsia" w:hAnsi="Cambria Math"/>
          <w:lang w:val="en-US" w:eastAsia="zh-CN"/>
        </w:rPr>
        <w:t>影响</w:t>
      </w:r>
    </w:p>
    <w:p w14:paraId="7EF981FA">
      <w:pPr>
        <w:adjustRightInd w:val="0"/>
        <w:snapToGrid w:val="0"/>
        <w:ind w:firstLine="420" w:firstLineChars="0"/>
        <w:jc w:val="both"/>
        <w:rPr>
          <w:rFonts w:hint="eastAsia" w:hAnsi="Cambria Math"/>
          <w:lang w:val="en-US" w:eastAsia="zh-CN"/>
        </w:rPr>
      </w:pPr>
      <w:r>
        <w:rPr>
          <w:rFonts w:hint="eastAsia" w:hAnsi="Cambria Math"/>
          <w:lang w:val="en-US" w:eastAsia="zh-CN"/>
        </w:rPr>
        <w:t>对于感光单元是阵列式的亮度计，因光栅特性、内部散射和荧光效应，存在内部杂散光，即非目标波长的光线投射到感光单元上。根据经验，内部杂散光的对结果的偏差不大于±0.0005，</w:t>
      </w:r>
      <w:r>
        <w:rPr>
          <w:rFonts w:hint="eastAsia"/>
          <w:lang w:val="en-US" w:eastAsia="zh-CN"/>
        </w:rPr>
        <w:t>假设均匀分布，</w:t>
      </w:r>
      <w:r>
        <w:rPr>
          <w:rFonts w:hint="eastAsia" w:hAnsi="Cambria Math"/>
          <w:lang w:val="en-US" w:eastAsia="zh-CN"/>
        </w:rPr>
        <w:t>内部杂散光引入的不确定度分量是</w:t>
      </w:r>
    </w:p>
    <w:p w14:paraId="5E53F3E8">
      <w:pPr>
        <w:adjustRightInd w:val="0"/>
        <w:snapToGrid w:val="0"/>
        <w:jc w:val="both"/>
        <w:rPr>
          <w:rFonts w:hint="default"/>
          <w:lang w:val="en-US" w:eastAsia="zh-CN"/>
        </w:rPr>
      </w:pPr>
      <m:oMathPara>
        <m:oMath>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4</m:t>
              </m:r>
              <m:ctrlPr>
                <w:rPr>
                  <w:rFonts w:ascii="Cambria Math" w:hAnsi="Cambria Math"/>
                  <w:i/>
                  <w:szCs w:val="22"/>
                </w:rPr>
              </m:ctrlPr>
            </m:sub>
          </m:sSub>
          <m:r>
            <m:rPr/>
            <w:rPr>
              <w:rFonts w:ascii="Cambria Math" w:hAnsi="Cambria Math"/>
              <w:szCs w:val="22"/>
            </w:rPr>
            <m:t>(</m:t>
          </m:r>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ascii="Cambria Math" w:hAnsi="Cambria Math" w:cs="Cambria Math"/>
                </w:rPr>
                <m:t xml:space="preserve">1, </m:t>
              </m:r>
              <m:r>
                <m:rPr/>
                <w:rPr>
                  <w:rFonts w:hint="default" w:ascii="Cambria Math" w:hAnsi="Cambria Math" w:cs="Cambria Math"/>
                  <w:lang w:val="en-US" w:eastAsia="zh-CN"/>
                </w:rPr>
                <m:t>4</m:t>
              </m:r>
              <m:ctrlPr>
                <w:rPr>
                  <w:rFonts w:ascii="Cambria Math" w:hAnsi="Cambria Math" w:cs="Cambria Math"/>
                  <w:i/>
                </w:rPr>
              </m:ctrlPr>
            </m:sub>
          </m:sSub>
          <m:r>
            <m:rPr/>
            <w:rPr>
              <w:rFonts w:ascii="Cambria Math" w:hAnsi="Cambria Math"/>
              <w:szCs w:val="22"/>
            </w:rPr>
            <m:t>)</m:t>
          </m:r>
          <m:r>
            <m:rPr/>
            <w:rPr>
              <w:rFonts w:hint="eastAsia" w:ascii="Cambria Math" w:hAnsi="Cambria Math"/>
              <w:szCs w:val="22"/>
              <w:lang w:val="en-US" w:eastAsia="zh-CN"/>
            </w:rPr>
            <m:t>=</m:t>
          </m:r>
          <m:sSub>
            <m:sSubPr>
              <m:ctrlPr>
                <w:rPr>
                  <w:rFonts w:ascii="Cambria Math" w:hAnsi="Cambria Math"/>
                  <w:i/>
                  <w:szCs w:val="22"/>
                </w:rPr>
              </m:ctrlPr>
            </m:sSubPr>
            <m:e>
              <m:r>
                <m:rPr/>
                <w:rPr>
                  <w:rFonts w:ascii="Cambria Math" w:hAnsi="Cambria Math"/>
                  <w:szCs w:val="22"/>
                </w:rPr>
                <m:t>u</m:t>
              </m:r>
              <m:ctrlPr>
                <w:rPr>
                  <w:rFonts w:ascii="Cambria Math" w:hAnsi="Cambria Math"/>
                  <w:i/>
                  <w:szCs w:val="22"/>
                </w:rPr>
              </m:ctrlPr>
            </m:e>
            <m:sub>
              <m:r>
                <m:rPr>
                  <m:sty m:val="p"/>
                </m:rPr>
                <w:rPr>
                  <w:rFonts w:hint="default" w:ascii="Cambria Math" w:hAnsi="Cambria Math"/>
                  <w:szCs w:val="22"/>
                  <w:lang w:val="en-US" w:eastAsia="zh-CN"/>
                </w:rPr>
                <m:t>4</m:t>
              </m:r>
              <m:ctrlPr>
                <w:rPr>
                  <w:rFonts w:ascii="Cambria Math" w:hAnsi="Cambria Math"/>
                  <w:i/>
                  <w:szCs w:val="22"/>
                </w:rPr>
              </m:ctrlPr>
            </m:sub>
          </m:sSub>
          <m:r>
            <m:rPr/>
            <w:rPr>
              <w:rFonts w:ascii="Cambria Math" w:hAnsi="Cambria Math"/>
              <w:szCs w:val="22"/>
            </w:rPr>
            <m:t>(</m:t>
          </m:r>
          <m:sSub>
            <m:sSubPr>
              <m:ctrlPr>
                <w:rPr>
                  <w:rFonts w:ascii="Cambria Math" w:hAnsi="Cambria Math" w:cs="Cambria Math"/>
                  <w:i/>
                </w:rPr>
              </m:ctrlPr>
            </m:sSubPr>
            <m:e>
              <m:r>
                <m:rPr/>
                <w:rPr>
                  <w:rFonts w:ascii="Cambria Math" w:hAnsi="Cambria Math" w:cs="Cambria Math"/>
                </w:rPr>
                <m:t>c</m:t>
              </m:r>
              <m:ctrlPr>
                <w:rPr>
                  <w:rFonts w:ascii="Cambria Math" w:hAnsi="Cambria Math" w:cs="Cambria Math"/>
                  <w:i/>
                </w:rPr>
              </m:ctrlPr>
            </m:e>
            <m:sub>
              <m:r>
                <m:rPr/>
                <w:rPr>
                  <w:rFonts w:hint="default" w:ascii="Cambria Math" w:hAnsi="Cambria Math" w:cs="Cambria Math"/>
                  <w:lang w:val="en-US" w:eastAsia="zh-CN"/>
                </w:rPr>
                <m:t>2</m:t>
              </m:r>
              <m:r>
                <m:rPr/>
                <w:rPr>
                  <w:rFonts w:ascii="Cambria Math" w:hAnsi="Cambria Math" w:cs="Cambria Math"/>
                </w:rPr>
                <m:t xml:space="preserve">, </m:t>
              </m:r>
              <m:r>
                <m:rPr/>
                <w:rPr>
                  <w:rFonts w:hint="default" w:ascii="Cambria Math" w:hAnsi="Cambria Math" w:cs="Cambria Math"/>
                  <w:lang w:val="en-US" w:eastAsia="zh-CN"/>
                </w:rPr>
                <m:t>4</m:t>
              </m:r>
              <m:ctrlPr>
                <w:rPr>
                  <w:rFonts w:ascii="Cambria Math" w:hAnsi="Cambria Math" w:cs="Cambria Math"/>
                  <w:i/>
                </w:rPr>
              </m:ctrlPr>
            </m:sub>
          </m:sSub>
          <m:r>
            <m:rPr/>
            <w:rPr>
              <w:rFonts w:ascii="Cambria Math" w:hAnsi="Cambria Math"/>
              <w:szCs w:val="22"/>
            </w:rPr>
            <m:t>)</m:t>
          </m:r>
          <m:r>
            <m:rPr/>
            <w:rPr>
              <w:rFonts w:hint="eastAsia" w:ascii="Cambria Math" w:hAnsi="Cambria Math"/>
              <w:szCs w:val="22"/>
              <w:lang w:val="en-US" w:eastAsia="zh-CN"/>
            </w:rPr>
            <m:t>=</m:t>
          </m:r>
          <m:f>
            <m:fPr>
              <m:ctrlPr>
                <w:rPr>
                  <w:rFonts w:hint="eastAsia" w:ascii="Cambria Math" w:hAnsi="Cambria Math"/>
                  <w:i/>
                  <w:szCs w:val="22"/>
                  <w:lang w:val="en-US" w:eastAsia="zh-CN"/>
                </w:rPr>
              </m:ctrlPr>
            </m:fPr>
            <m:num>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0005</m:t>
              </m:r>
              <m:ctrlPr>
                <w:rPr>
                  <w:rFonts w:hint="eastAsia" w:ascii="Cambria Math" w:hAnsi="Cambria Math"/>
                  <w:i/>
                  <w:szCs w:val="22"/>
                  <w:lang w:val="en-US" w:eastAsia="zh-CN"/>
                </w:rPr>
              </m:ctrlPr>
            </m:num>
            <m:den>
              <m:rad>
                <m:radPr>
                  <m:degHide m:val="1"/>
                  <m:ctrlPr>
                    <w:rPr>
                      <w:rFonts w:hint="eastAsia" w:ascii="Cambria Math" w:hAnsi="Cambria Math"/>
                      <w:szCs w:val="22"/>
                    </w:rPr>
                  </m:ctrlPr>
                </m:radPr>
                <m:deg>
                  <m:ctrlPr>
                    <w:rPr>
                      <w:rFonts w:hint="eastAsia" w:ascii="Cambria Math" w:hAnsi="Cambria Math"/>
                      <w:szCs w:val="22"/>
                    </w:rPr>
                  </m:ctrlPr>
                </m:deg>
                <m:e>
                  <m:r>
                    <m:rPr>
                      <m:sty m:val="p"/>
                    </m:rPr>
                    <w:rPr>
                      <w:rFonts w:hint="eastAsia" w:ascii="Cambria Math" w:hAnsi="Cambria Math"/>
                      <w:szCs w:val="22"/>
                    </w:rPr>
                    <m:t>3</m:t>
                  </m:r>
                  <m:ctrlPr>
                    <w:rPr>
                      <w:rFonts w:hint="eastAsia" w:ascii="Cambria Math" w:hAnsi="Cambria Math"/>
                      <w:szCs w:val="22"/>
                    </w:rPr>
                  </m:ctrlPr>
                </m:e>
              </m:rad>
              <m:ctrlPr>
                <w:rPr>
                  <w:rFonts w:hint="eastAsia" w:ascii="Cambria Math" w:hAnsi="Cambria Math"/>
                  <w:i/>
                  <w:szCs w:val="22"/>
                  <w:lang w:val="en-US" w:eastAsia="zh-CN"/>
                </w:rPr>
              </m:ctrlPr>
            </m:den>
          </m:f>
          <m:r>
            <m:rPr/>
            <w:rPr>
              <w:rFonts w:hint="eastAsia" w:ascii="Cambria Math" w:hAnsi="Cambria Math"/>
              <w:szCs w:val="22"/>
              <w:lang w:val="en-US" w:eastAsia="zh-CN"/>
            </w:rPr>
            <m:t>=</m:t>
          </m:r>
          <m:r>
            <m:rPr/>
            <w:rPr>
              <w:rFonts w:hint="default" w:ascii="Cambria Math" w:hAnsi="Cambria Math"/>
              <w:szCs w:val="22"/>
              <w:lang w:val="en-US" w:eastAsia="zh-CN"/>
            </w:rPr>
            <m:t>0</m:t>
          </m:r>
          <m:r>
            <m:rPr/>
            <w:rPr>
              <w:rFonts w:hint="eastAsia" w:ascii="Cambria Math" w:hAnsi="Cambria Math"/>
              <w:szCs w:val="22"/>
              <w:lang w:val="en-US" w:eastAsia="zh-CN"/>
            </w:rPr>
            <m:t>.</m:t>
          </m:r>
          <m:r>
            <m:rPr/>
            <w:rPr>
              <w:rFonts w:hint="default" w:ascii="Cambria Math" w:hAnsi="Cambria Math"/>
              <w:szCs w:val="22"/>
              <w:lang w:val="en-US" w:eastAsia="zh-CN"/>
            </w:rPr>
            <m:t>0003</m:t>
          </m:r>
        </m:oMath>
      </m:oMathPara>
    </w:p>
    <w:p w14:paraId="5E64741D">
      <w:pPr>
        <w:adjustRightInd w:val="0"/>
        <w:snapToGrid w:val="0"/>
        <w:jc w:val="both"/>
        <w:rPr>
          <w:rFonts w:hint="default"/>
          <w:lang w:val="en-US" w:eastAsia="zh-CN"/>
        </w:rPr>
      </w:pPr>
    </w:p>
    <w:p w14:paraId="2CEC101E">
      <w:pPr>
        <w:adjustRightInd w:val="0"/>
        <w:snapToGrid w:val="0"/>
        <w:jc w:val="both"/>
        <w:rPr>
          <w:rFonts w:hint="eastAsia" w:hAnsi="Cambria Math" w:cs="Times New Roman"/>
          <w:i w:val="0"/>
          <w:kern w:val="2"/>
          <w:sz w:val="24"/>
          <w:szCs w:val="24"/>
          <w:lang w:val="en-US" w:eastAsia="zh-CN" w:bidi="ar-SA"/>
        </w:rPr>
      </w:pPr>
      <w:r>
        <w:rPr>
          <w:rFonts w:hint="eastAsia" w:hAnsi="Cambria Math" w:cs="Times New Roman"/>
          <w:i w:val="0"/>
          <w:kern w:val="2"/>
          <w:sz w:val="24"/>
          <w:szCs w:val="24"/>
          <w:lang w:val="en-US" w:eastAsia="zh-CN" w:bidi="ar-SA"/>
        </w:rPr>
        <w:t>B.</w:t>
      </w:r>
      <w:r>
        <w:rPr>
          <w:rFonts w:hint="eastAsia"/>
          <w:lang w:val="en-US" w:eastAsia="zh-CN"/>
        </w:rPr>
        <w:t>2.</w:t>
      </w:r>
      <w:r>
        <w:rPr>
          <w:rFonts w:hint="eastAsia" w:hAnsi="Cambria Math" w:cs="Times New Roman"/>
          <w:i w:val="0"/>
          <w:kern w:val="2"/>
          <w:sz w:val="24"/>
          <w:szCs w:val="24"/>
          <w:lang w:val="en-US" w:eastAsia="zh-CN" w:bidi="ar-SA"/>
        </w:rPr>
        <w:t xml:space="preserve">4 </w:t>
      </w:r>
      <w:r>
        <w:rPr>
          <w:rFonts w:hint="eastAsia"/>
          <w:sz w:val="24"/>
          <w:szCs w:val="22"/>
          <w:highlight w:val="none"/>
          <w:lang w:val="en-US" w:eastAsia="zh-CN"/>
        </w:rPr>
        <w:t>标准不确定度分量评定结果</w:t>
      </w:r>
    </w:p>
    <w:p w14:paraId="78736DCB">
      <w:pPr>
        <w:pStyle w:val="4"/>
        <w:jc w:val="center"/>
        <w:rPr>
          <w:rFonts w:eastAsia="宋体"/>
        </w:rPr>
      </w:pPr>
      <w:r>
        <w:t xml:space="preserve">表 </w:t>
      </w:r>
      <w:bookmarkStart w:id="100" w:name="_Toc14297"/>
      <w:r>
        <w:rPr>
          <w:rFonts w:hint="eastAsia"/>
          <w:lang w:val="en-US" w:eastAsia="zh-CN"/>
        </w:rPr>
        <w:t>B.3</w:t>
      </w:r>
      <w:r>
        <w:rPr>
          <w:rFonts w:hint="eastAsia"/>
        </w:rPr>
        <w:t xml:space="preserve"> 色品坐标不确定度分量评估结果</w:t>
      </w:r>
      <w:bookmarkEnd w:id="100"/>
    </w:p>
    <w:tbl>
      <w:tblPr>
        <w:tblStyle w:val="8"/>
        <w:tblW w:w="59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1"/>
        <w:gridCol w:w="1500"/>
        <w:gridCol w:w="2040"/>
      </w:tblGrid>
      <w:tr w14:paraId="14E2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361" w:type="dxa"/>
            <w:shd w:val="clear" w:color="auto" w:fill="auto"/>
            <w:noWrap/>
            <w:vAlign w:val="center"/>
          </w:tcPr>
          <w:p w14:paraId="7F47F3A3">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来源</w:t>
            </w:r>
          </w:p>
        </w:tc>
        <w:tc>
          <w:tcPr>
            <w:tcW w:w="1500" w:type="dxa"/>
            <w:shd w:val="clear" w:color="auto" w:fill="auto"/>
            <w:noWrap/>
            <w:vAlign w:val="center"/>
          </w:tcPr>
          <w:p w14:paraId="065AADD4">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类型</w:t>
            </w:r>
          </w:p>
        </w:tc>
        <w:tc>
          <w:tcPr>
            <w:tcW w:w="2040" w:type="dxa"/>
            <w:shd w:val="clear" w:color="auto" w:fill="auto"/>
            <w:noWrap/>
            <w:vAlign w:val="center"/>
          </w:tcPr>
          <w:p w14:paraId="5FCB49FF">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不确定度分量贡献</w:t>
            </w:r>
          </w:p>
        </w:tc>
      </w:tr>
      <w:tr w14:paraId="7620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361" w:type="dxa"/>
            <w:shd w:val="clear" w:color="auto" w:fill="auto"/>
            <w:noWrap/>
            <w:vAlign w:val="center"/>
          </w:tcPr>
          <w:p w14:paraId="572231BC">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上级标准源（A光源）</w:t>
            </w:r>
          </w:p>
        </w:tc>
        <w:tc>
          <w:tcPr>
            <w:tcW w:w="1500" w:type="dxa"/>
            <w:shd w:val="clear" w:color="auto" w:fill="auto"/>
            <w:noWrap/>
            <w:vAlign w:val="center"/>
          </w:tcPr>
          <w:p w14:paraId="55DAEEC9">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B</w:t>
            </w:r>
          </w:p>
        </w:tc>
        <w:tc>
          <w:tcPr>
            <w:tcW w:w="2040" w:type="dxa"/>
            <w:shd w:val="clear" w:color="auto" w:fill="auto"/>
            <w:noWrap/>
            <w:vAlign w:val="center"/>
          </w:tcPr>
          <w:p w14:paraId="4B0767AA">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0.00027</w:t>
            </w:r>
          </w:p>
        </w:tc>
      </w:tr>
      <w:tr w14:paraId="461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361" w:type="dxa"/>
            <w:shd w:val="clear" w:color="auto" w:fill="auto"/>
            <w:noWrap/>
            <w:vAlign w:val="center"/>
          </w:tcPr>
          <w:p w14:paraId="633F4E1A">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测量重复性</w:t>
            </w:r>
          </w:p>
        </w:tc>
        <w:tc>
          <w:tcPr>
            <w:tcW w:w="1500" w:type="dxa"/>
            <w:shd w:val="clear" w:color="auto" w:fill="auto"/>
            <w:noWrap/>
            <w:vAlign w:val="center"/>
          </w:tcPr>
          <w:p w14:paraId="0EA43282">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A</w:t>
            </w:r>
          </w:p>
        </w:tc>
        <w:tc>
          <w:tcPr>
            <w:tcW w:w="2040" w:type="dxa"/>
            <w:shd w:val="clear" w:color="auto" w:fill="auto"/>
            <w:noWrap/>
            <w:vAlign w:val="center"/>
          </w:tcPr>
          <w:p w14:paraId="4C3270C1">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0.00007</w:t>
            </w:r>
          </w:p>
        </w:tc>
      </w:tr>
      <w:tr w14:paraId="27AE2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361" w:type="dxa"/>
            <w:shd w:val="clear" w:color="auto" w:fill="auto"/>
            <w:noWrap/>
            <w:vAlign w:val="center"/>
          </w:tcPr>
          <w:p w14:paraId="4D6FDD1B">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LED稳定性</w:t>
            </w:r>
          </w:p>
        </w:tc>
        <w:tc>
          <w:tcPr>
            <w:tcW w:w="1500" w:type="dxa"/>
            <w:shd w:val="clear" w:color="auto" w:fill="auto"/>
            <w:noWrap/>
            <w:vAlign w:val="center"/>
          </w:tcPr>
          <w:p w14:paraId="57822834">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B</w:t>
            </w:r>
          </w:p>
        </w:tc>
        <w:tc>
          <w:tcPr>
            <w:tcW w:w="2040" w:type="dxa"/>
            <w:shd w:val="clear" w:color="auto" w:fill="auto"/>
            <w:noWrap/>
            <w:vAlign w:val="center"/>
          </w:tcPr>
          <w:p w14:paraId="374D3319">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0.0006</w:t>
            </w:r>
          </w:p>
        </w:tc>
      </w:tr>
      <w:tr w14:paraId="28B5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2361" w:type="dxa"/>
            <w:shd w:val="clear" w:color="auto" w:fill="auto"/>
            <w:noWrap/>
            <w:vAlign w:val="center"/>
          </w:tcPr>
          <w:p w14:paraId="5F58E367">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波长偏离</w:t>
            </w:r>
          </w:p>
        </w:tc>
        <w:tc>
          <w:tcPr>
            <w:tcW w:w="1500" w:type="dxa"/>
            <w:shd w:val="clear" w:color="auto" w:fill="auto"/>
            <w:noWrap/>
            <w:vAlign w:val="center"/>
          </w:tcPr>
          <w:p w14:paraId="7018D47C">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B</w:t>
            </w:r>
          </w:p>
        </w:tc>
        <w:tc>
          <w:tcPr>
            <w:tcW w:w="2040" w:type="dxa"/>
            <w:shd w:val="clear" w:color="auto" w:fill="auto"/>
            <w:noWrap/>
            <w:vAlign w:val="center"/>
          </w:tcPr>
          <w:p w14:paraId="039C92BC">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0.0006</w:t>
            </w:r>
          </w:p>
        </w:tc>
      </w:tr>
      <w:tr w14:paraId="04A0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61" w:type="dxa"/>
            <w:shd w:val="clear" w:color="auto" w:fill="auto"/>
            <w:noWrap/>
            <w:vAlign w:val="center"/>
          </w:tcPr>
          <w:p w14:paraId="65BF23A2">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带宽</w:t>
            </w:r>
          </w:p>
        </w:tc>
        <w:tc>
          <w:tcPr>
            <w:tcW w:w="1500" w:type="dxa"/>
            <w:shd w:val="clear" w:color="auto" w:fill="auto"/>
            <w:noWrap/>
            <w:vAlign w:val="center"/>
          </w:tcPr>
          <w:p w14:paraId="70C6F835">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B</w:t>
            </w:r>
          </w:p>
        </w:tc>
        <w:tc>
          <w:tcPr>
            <w:tcW w:w="2040" w:type="dxa"/>
            <w:shd w:val="clear" w:color="auto" w:fill="auto"/>
            <w:noWrap/>
            <w:vAlign w:val="center"/>
          </w:tcPr>
          <w:p w14:paraId="1C2CFAD9">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0.0006</w:t>
            </w:r>
          </w:p>
        </w:tc>
      </w:tr>
      <w:tr w14:paraId="02A0A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2361" w:type="dxa"/>
            <w:shd w:val="clear" w:color="auto" w:fill="auto"/>
            <w:noWrap/>
            <w:vAlign w:val="center"/>
          </w:tcPr>
          <w:p w14:paraId="0CD4B210">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非线性</w:t>
            </w:r>
          </w:p>
        </w:tc>
        <w:tc>
          <w:tcPr>
            <w:tcW w:w="1500" w:type="dxa"/>
            <w:shd w:val="clear" w:color="auto" w:fill="auto"/>
            <w:noWrap/>
            <w:vAlign w:val="center"/>
          </w:tcPr>
          <w:p w14:paraId="56BFBB58">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B</w:t>
            </w:r>
          </w:p>
        </w:tc>
        <w:tc>
          <w:tcPr>
            <w:tcW w:w="2040" w:type="dxa"/>
            <w:shd w:val="clear" w:color="auto" w:fill="auto"/>
            <w:noWrap/>
            <w:vAlign w:val="center"/>
          </w:tcPr>
          <w:p w14:paraId="14830D44">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0.0003</w:t>
            </w:r>
          </w:p>
        </w:tc>
      </w:tr>
      <w:tr w14:paraId="6D86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361" w:type="dxa"/>
            <w:shd w:val="clear" w:color="auto" w:fill="auto"/>
            <w:vAlign w:val="center"/>
          </w:tcPr>
          <w:p w14:paraId="68E2A68D">
            <w:pPr>
              <w:widowControl/>
              <w:jc w:val="left"/>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亮度计内部杂散光</w:t>
            </w:r>
          </w:p>
        </w:tc>
        <w:tc>
          <w:tcPr>
            <w:tcW w:w="1500" w:type="dxa"/>
            <w:shd w:val="clear" w:color="auto" w:fill="auto"/>
            <w:noWrap/>
            <w:vAlign w:val="center"/>
          </w:tcPr>
          <w:p w14:paraId="5A1C5700">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B</w:t>
            </w:r>
          </w:p>
        </w:tc>
        <w:tc>
          <w:tcPr>
            <w:tcW w:w="2040" w:type="dxa"/>
            <w:shd w:val="clear" w:color="auto" w:fill="auto"/>
            <w:noWrap/>
            <w:vAlign w:val="center"/>
          </w:tcPr>
          <w:p w14:paraId="0C427B70">
            <w:pPr>
              <w:keepNext w:val="0"/>
              <w:keepLines w:val="0"/>
              <w:widowControl/>
              <w:suppressLineNumbers w:val="0"/>
              <w:jc w:val="center"/>
              <w:textAlignment w:val="center"/>
              <w:rPr>
                <w:rFonts w:ascii="宋体" w:hAnsi="宋体" w:eastAsia="宋体" w:cs="宋体"/>
                <w:color w:val="000000"/>
                <w:sz w:val="22"/>
                <w:szCs w:val="22"/>
              </w:rPr>
            </w:pPr>
            <w:r>
              <w:rPr>
                <w:rFonts w:hint="eastAsia" w:ascii="宋体" w:hAnsi="宋体" w:eastAsia="宋体" w:cs="宋体"/>
                <w:i w:val="0"/>
                <w:iCs w:val="0"/>
                <w:color w:val="000000"/>
                <w:kern w:val="0"/>
                <w:sz w:val="22"/>
                <w:szCs w:val="22"/>
                <w:u w:val="none"/>
                <w:lang w:val="en-US" w:eastAsia="zh-CN" w:bidi="ar"/>
              </w:rPr>
              <w:t>0.0003</w:t>
            </w:r>
          </w:p>
        </w:tc>
      </w:tr>
      <w:tr w14:paraId="55451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861" w:type="dxa"/>
            <w:gridSpan w:val="2"/>
            <w:shd w:val="clear" w:color="auto" w:fill="auto"/>
            <w:noWrap/>
            <w:vAlign w:val="center"/>
          </w:tcPr>
          <w:p w14:paraId="4DE26B0F">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标准不确定度</w:t>
            </w:r>
            <m:oMath>
              <m:r>
                <m:rPr/>
                <w:rPr>
                  <w:rFonts w:ascii="Cambria Math" w:hAnsi="Cambria Math" w:eastAsia="宋体" w:cs="宋体"/>
                  <w:color w:val="000000"/>
                  <w:kern w:val="0"/>
                  <w:sz w:val="22"/>
                  <w:szCs w:val="22"/>
                  <w:lang w:bidi="ar"/>
                </w:rPr>
                <m:t>u</m:t>
              </m:r>
            </m:oMath>
          </w:p>
        </w:tc>
        <w:tc>
          <w:tcPr>
            <w:tcW w:w="0" w:type="auto"/>
            <w:shd w:val="clear" w:color="auto" w:fill="auto"/>
            <w:noWrap/>
            <w:vAlign w:val="center"/>
          </w:tcPr>
          <w:p w14:paraId="02320DB9">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0.001</w:t>
            </w:r>
            <w:r>
              <w:rPr>
                <w:rFonts w:hint="eastAsia" w:ascii="宋体" w:hAnsi="宋体" w:eastAsia="宋体" w:cs="宋体"/>
                <w:color w:val="000000"/>
                <w:kern w:val="0"/>
                <w:sz w:val="22"/>
                <w:szCs w:val="22"/>
                <w:lang w:val="en-US" w:eastAsia="zh-CN" w:bidi="ar"/>
              </w:rPr>
              <w:t>2</w:t>
            </w:r>
            <w:r>
              <w:rPr>
                <w:rFonts w:hint="eastAsia" w:ascii="宋体" w:hAnsi="宋体" w:eastAsia="宋体" w:cs="宋体"/>
                <w:color w:val="000000"/>
                <w:kern w:val="0"/>
                <w:sz w:val="22"/>
                <w:szCs w:val="22"/>
                <w:lang w:bidi="ar"/>
              </w:rPr>
              <w:t xml:space="preserve"> </w:t>
            </w:r>
          </w:p>
        </w:tc>
      </w:tr>
      <w:tr w14:paraId="0F68D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861" w:type="dxa"/>
            <w:gridSpan w:val="2"/>
            <w:shd w:val="clear" w:color="auto" w:fill="auto"/>
            <w:noWrap/>
            <w:vAlign w:val="center"/>
          </w:tcPr>
          <w:p w14:paraId="573F6DB5">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扩展不确定度</w:t>
            </w:r>
            <m:oMath>
              <m:r>
                <m:rPr/>
                <w:rPr>
                  <w:rFonts w:ascii="Cambria Math" w:hAnsi="Cambria Math" w:cs="Cambria Math"/>
                </w:rPr>
                <m:t>U</m:t>
              </m:r>
            </m:oMath>
            <w:r>
              <w:rPr>
                <w:rFonts w:hint="eastAsia" w:hAnsi="Cambria Math" w:cs="Cambria Math"/>
              </w:rPr>
              <w:t xml:space="preserve"> (</w:t>
            </w:r>
            <w:r>
              <w:rPr>
                <w:rFonts w:hint="default" w:ascii="Times New Roman" w:hAnsi="Times New Roman" w:cs="Times New Roman"/>
                <w:i/>
                <w:iCs/>
              </w:rPr>
              <w:t>k</w:t>
            </w:r>
            <w:r>
              <w:rPr>
                <w:rFonts w:hint="default" w:ascii="Times New Roman" w:hAnsi="Times New Roman" w:cs="Times New Roman"/>
              </w:rPr>
              <w:t>=2</w:t>
            </w:r>
            <w:r>
              <w:rPr>
                <w:rFonts w:hint="eastAsia" w:hAnsi="Cambria Math" w:cs="Cambria Math"/>
              </w:rPr>
              <w:t>)</w:t>
            </w:r>
          </w:p>
        </w:tc>
        <w:tc>
          <w:tcPr>
            <w:tcW w:w="0" w:type="auto"/>
            <w:shd w:val="clear" w:color="auto" w:fill="auto"/>
            <w:noWrap/>
            <w:vAlign w:val="center"/>
          </w:tcPr>
          <w:p w14:paraId="3760960A">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bidi="ar"/>
              </w:rPr>
              <w:t xml:space="preserve">0.0024 </w:t>
            </w:r>
          </w:p>
        </w:tc>
      </w:tr>
    </w:tbl>
    <w:p w14:paraId="7802BD2B">
      <w:pPr>
        <w:rPr>
          <w:rFonts w:hint="default"/>
          <w:sz w:val="24"/>
          <w:szCs w:val="22"/>
          <w:highlight w:val="none"/>
          <w:lang w:val="en-US" w:eastAsia="zh-CN"/>
        </w:rPr>
      </w:pPr>
      <w:r>
        <w:rPr>
          <w:rFonts w:hint="eastAsia"/>
          <w:sz w:val="24"/>
          <w:szCs w:val="22"/>
          <w:highlight w:val="none"/>
          <w:lang w:val="en-US" w:eastAsia="zh-CN"/>
        </w:rPr>
        <w:t>B.</w:t>
      </w:r>
      <w:r>
        <w:rPr>
          <w:rFonts w:hint="eastAsia"/>
          <w:lang w:val="en-US" w:eastAsia="zh-CN"/>
        </w:rPr>
        <w:t>2.</w:t>
      </w:r>
      <w:r>
        <w:rPr>
          <w:rFonts w:hint="eastAsia"/>
          <w:sz w:val="24"/>
          <w:szCs w:val="22"/>
          <w:highlight w:val="none"/>
          <w:lang w:val="en-US" w:eastAsia="zh-CN"/>
        </w:rPr>
        <w:t>5 校准不确定度表达</w:t>
      </w:r>
    </w:p>
    <w:p w14:paraId="5101CB96">
      <w:pPr>
        <w:ind w:firstLine="420" w:firstLineChars="0"/>
      </w:pPr>
      <w:r>
        <w:rPr>
          <w:rFonts w:hint="eastAsia"/>
        </w:rPr>
        <w:t>上述各不确定度来源独立，不相关。相对合成标准不确定度的计算公式简化为</w:t>
      </w:r>
    </w:p>
    <w:p w14:paraId="53773FFD">
      <w:pPr>
        <w:rPr>
          <w:rFonts w:hint="default" w:hAnsi="Cambria Math"/>
          <w:lang w:val="en-US"/>
        </w:rPr>
      </w:pPr>
      <m:oMathPara>
        <m:oMathParaPr>
          <m:jc m:val="center"/>
        </m:oMathParaPr>
        <m:oMath>
          <m:sSub>
            <m:sSubPr>
              <m:ctrlPr>
                <w:rPr>
                  <w:rFonts w:ascii="Cambria Math" w:hAnsi="Cambria Math"/>
                  <w:i/>
                </w:rPr>
              </m:ctrlPr>
            </m:sSubPr>
            <m:e>
              <m:r>
                <m:rPr/>
                <w:rPr>
                  <w:rFonts w:ascii="Cambria Math" w:hAnsi="Cambria Math"/>
                </w:rPr>
                <m:t>u</m:t>
              </m:r>
              <m:ctrlPr>
                <w:rPr>
                  <w:rFonts w:ascii="Cambria Math" w:hAnsi="Cambria Math"/>
                  <w:i/>
                </w:rPr>
              </m:ctrlPr>
            </m:e>
            <m:sub>
              <m:r>
                <m:rPr>
                  <m:nor/>
                  <m:sty m:val="p"/>
                </m:rPr>
                <w:rPr>
                  <w:rFonts w:ascii="Cambria Math" w:hAnsi="Cambria Math"/>
                  <w:b w:val="0"/>
                  <w:i w:val="0"/>
                </w:rPr>
                <m:t>c</m:t>
              </m:r>
              <m:ctrlPr>
                <w:rPr>
                  <w:rFonts w:ascii="Cambria Math" w:hAnsi="Cambria Math"/>
                </w:rPr>
              </m:ctrlPr>
            </m:sub>
          </m:sSub>
          <m:r>
            <m:rPr/>
            <w:rPr>
              <w:rFonts w:ascii="Cambria Math" w:hAnsi="Cambria Math"/>
            </w:rPr>
            <m:t>=</m:t>
          </m:r>
          <m:rad>
            <m:radPr>
              <m:degHide m:val="1"/>
              <m:ctrlPr>
                <w:rPr>
                  <w:rFonts w:ascii="Cambria Math" w:hAnsi="Cambria Math"/>
                  <w:i/>
                </w:rPr>
              </m:ctrlPr>
            </m:radPr>
            <m:deg>
              <m:ctrlPr>
                <w:rPr>
                  <w:rFonts w:ascii="Cambria Math" w:hAnsi="Cambria Math"/>
                  <w:i/>
                </w:rPr>
              </m:ctrlPr>
            </m:deg>
            <m:e>
              <m:nary>
                <m:naryPr>
                  <m:chr m:val="∑"/>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hint="default" w:ascii="Cambria Math" w:hAnsi="Cambria Math"/>
                      <w:lang w:val="en-US" w:eastAsia="zh-CN"/>
                    </w:rPr>
                    <m:t>7</m:t>
                  </m:r>
                  <m:ctrlPr>
                    <w:rPr>
                      <w:rFonts w:ascii="Cambria Math" w:hAnsi="Cambria Math"/>
                      <w:i/>
                    </w:rPr>
                  </m:ctrlPr>
                </m:sup>
                <m:e>
                  <m:sSubSup>
                    <m:sSubSupPr>
                      <m:ctrlPr>
                        <w:rPr>
                          <w:rFonts w:ascii="Cambria Math" w:hAnsi="Cambria Math" w:eastAsia="宋体"/>
                          <w:i/>
                        </w:rPr>
                      </m:ctrlPr>
                    </m:sSubSupPr>
                    <m:e>
                      <m:r>
                        <m:rPr/>
                        <w:rPr>
                          <w:rFonts w:ascii="Cambria Math" w:hAnsi="Cambria Math" w:eastAsia="宋体"/>
                        </w:rPr>
                        <m:t>u</m:t>
                      </m:r>
                      <m:ctrlPr>
                        <w:rPr>
                          <w:rFonts w:ascii="Cambria Math" w:hAnsi="Cambria Math" w:eastAsia="宋体"/>
                          <w:i/>
                        </w:rPr>
                      </m:ctrlPr>
                    </m:e>
                    <m:sub>
                      <m:r>
                        <m:rPr>
                          <m:nor/>
                        </m:rPr>
                        <w:rPr>
                          <w:rFonts w:ascii="Cambria Math" w:hAnsi="Cambria Math" w:eastAsia="宋体"/>
                          <w:i/>
                          <w:iCs/>
                        </w:rPr>
                        <m:t>i</m:t>
                      </m:r>
                      <m:ctrlPr>
                        <w:rPr>
                          <w:rFonts w:ascii="Cambria Math" w:hAnsi="Cambria Math" w:eastAsia="宋体"/>
                        </w:rPr>
                      </m:ctrlPr>
                    </m:sub>
                    <m:sup>
                      <m:r>
                        <m:rPr/>
                        <w:rPr>
                          <w:rFonts w:ascii="Cambria Math" w:hAnsi="Cambria Math" w:eastAsia="宋体"/>
                        </w:rPr>
                        <m:t>2</m:t>
                      </m:r>
                      <m:ctrlPr>
                        <w:rPr>
                          <w:rFonts w:ascii="Cambria Math" w:hAnsi="Cambria Math" w:eastAsia="宋体"/>
                          <w:i/>
                        </w:rPr>
                      </m:ctrlPr>
                    </m:sup>
                  </m:sSubSup>
                  <m:ctrlPr>
                    <w:rPr>
                      <w:rFonts w:ascii="Cambria Math" w:hAnsi="Cambria Math"/>
                      <w:i/>
                    </w:rPr>
                  </m:ctrlPr>
                </m:e>
              </m:nary>
              <m:ctrlPr>
                <w:rPr>
                  <w:rFonts w:ascii="Cambria Math" w:hAnsi="Cambria Math"/>
                  <w:i/>
                </w:rPr>
              </m:ctrlPr>
            </m:e>
          </m:rad>
          <m:r>
            <m:rPr>
              <m:sty m:val="p"/>
            </m:rPr>
            <w:rPr>
              <w:rFonts w:ascii="Cambria Math" w:hAnsi="Cambria Math"/>
            </w:rPr>
            <m:t xml:space="preserve"> =</m:t>
          </m:r>
          <m:r>
            <m:rPr>
              <m:sty m:val="p"/>
            </m:rPr>
            <w:rPr>
              <w:rFonts w:hint="default" w:ascii="Cambria Math" w:hAnsi="Cambria Math"/>
              <w:lang w:val="en-US" w:eastAsia="zh-CN"/>
            </w:rPr>
            <m:t>0.0012</m:t>
          </m:r>
        </m:oMath>
      </m:oMathPara>
    </w:p>
    <w:p w14:paraId="4B67C21B">
      <w:pPr>
        <w:rPr>
          <w:szCs w:val="22"/>
        </w:rPr>
      </w:pPr>
    </w:p>
    <w:p w14:paraId="399F9C43">
      <w:pPr>
        <w:rPr>
          <w:rFonts w:hint="default" w:eastAsiaTheme="minorEastAsia"/>
          <w:lang w:val="en-US" w:eastAsia="zh-CN"/>
        </w:rPr>
      </w:pPr>
      <w:r>
        <w:rPr>
          <w:rFonts w:hint="eastAsia"/>
          <w:sz w:val="24"/>
          <w:szCs w:val="22"/>
          <w:highlight w:val="none"/>
          <w:lang w:val="en-US" w:eastAsia="zh-CN"/>
        </w:rPr>
        <w:t>B.2</w:t>
      </w:r>
      <w:r>
        <w:rPr>
          <w:rFonts w:hint="eastAsia"/>
          <w:lang w:val="en-US" w:eastAsia="zh-CN"/>
        </w:rPr>
        <w:t>.</w:t>
      </w:r>
      <w:r>
        <w:rPr>
          <w:rFonts w:hint="eastAsia"/>
          <w:sz w:val="24"/>
          <w:szCs w:val="22"/>
          <w:highlight w:val="none"/>
          <w:lang w:val="en-US" w:eastAsia="zh-CN"/>
        </w:rPr>
        <w:t>6</w:t>
      </w:r>
      <w:r>
        <w:rPr>
          <w:rFonts w:hint="eastAsia"/>
        </w:rPr>
        <w:t xml:space="preserve"> 扩展不确定度的评定</w:t>
      </w:r>
      <w:r>
        <w:rPr>
          <w:rFonts w:hint="eastAsia"/>
          <w:lang w:val="en-US" w:eastAsia="zh-CN"/>
        </w:rPr>
        <w:t xml:space="preserve">   </w:t>
      </w:r>
    </w:p>
    <w:p w14:paraId="30F95D96">
      <w:pPr>
        <w:ind w:firstLine="420"/>
      </w:pPr>
      <w:r>
        <w:rPr>
          <w:rFonts w:hint="eastAsia"/>
        </w:rPr>
        <w:t>取包含因子</w:t>
      </w:r>
      <w:r>
        <w:rPr>
          <w:rFonts w:hint="eastAsia"/>
          <w:i/>
          <w:iCs/>
        </w:rPr>
        <w:t>k</w:t>
      </w:r>
      <w:r>
        <w:rPr>
          <w:rFonts w:hint="eastAsia"/>
        </w:rPr>
        <w:t>=2，则扩展不确定度为</w:t>
      </w:r>
    </w:p>
    <w:p w14:paraId="654F4ED3">
      <w:pPr>
        <w:ind w:firstLine="420"/>
        <w:jc w:val="center"/>
        <w:rPr>
          <w:i w:val="0"/>
        </w:rPr>
      </w:pPr>
      <m:oMath>
        <m:r>
          <m:rPr/>
          <w:rPr>
            <w:rFonts w:hint="default" w:ascii="Cambria Math" w:hAnsi="Cambria Math"/>
            <w:lang w:val="en-US" w:eastAsia="zh-CN"/>
          </w:rPr>
          <m:t>U(x)</m:t>
        </m:r>
        <m:r>
          <m:rPr/>
          <w:rPr>
            <w:rFonts w:ascii="Cambria Math"/>
          </w:rPr>
          <m:t>=</m:t>
        </m:r>
        <m:r>
          <m:rPr/>
          <w:rPr>
            <w:rFonts w:hint="default" w:ascii="Cambria Math" w:hAnsi="Cambria Math"/>
            <w:lang w:val="en-US" w:eastAsia="zh-CN"/>
          </w:rPr>
          <m:t>U(y)=0.0012</m:t>
        </m:r>
        <m:r>
          <m:rPr/>
          <w:rPr>
            <w:rFonts w:ascii="Cambria Math"/>
          </w:rPr>
          <m:t>×2=</m:t>
        </m:r>
        <m:r>
          <m:rPr/>
          <w:rPr>
            <w:rFonts w:hint="default" w:ascii="Cambria Math"/>
            <w:lang w:val="en-US" w:eastAsia="zh-CN"/>
          </w:rPr>
          <m:t>0.0024</m:t>
        </m:r>
      </m:oMath>
      <w:r>
        <w:rPr>
          <w:rFonts w:hint="eastAsia"/>
          <w:i w:val="0"/>
          <w:lang w:val="en-US" w:eastAsia="zh-CN"/>
        </w:rPr>
        <w:t xml:space="preserve"> </w:t>
      </w:r>
      <w:r>
        <w:rPr>
          <w:rFonts w:hint="eastAsia"/>
        </w:rPr>
        <w:t xml:space="preserve"> </w:t>
      </w:r>
      <m:oMath>
        <m:r>
          <m:rPr>
            <m:nor/>
            <m:sty m:val="p"/>
          </m:rPr>
          <w:rPr>
            <w:rFonts w:ascii="Cambria Math"/>
            <w:b w:val="0"/>
            <w:i w:val="0"/>
          </w:rPr>
          <m:t>(</m:t>
        </m:r>
        <m:r>
          <m:rPr/>
          <w:rPr>
            <w:rFonts w:ascii="Cambria Math"/>
          </w:rPr>
          <m:t>k</m:t>
        </m:r>
        <m:r>
          <m:rPr>
            <m:nor/>
            <m:sty m:val="p"/>
          </m:rPr>
          <w:rPr>
            <w:rFonts w:ascii="Cambria Math"/>
            <w:b w:val="0"/>
            <w:i w:val="0"/>
          </w:rPr>
          <m:t>=2)</m:t>
        </m:r>
      </m:oMath>
    </w:p>
    <w:p w14:paraId="2A1A0E94">
      <w:pPr>
        <w:adjustRightInd w:val="0"/>
        <w:snapToGrid w:val="0"/>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ì.">
    <w:altName w:val="宋体"/>
    <w:panose1 w:val="00000000000000000000"/>
    <w:charset w:val="86"/>
    <w:family w:val="auto"/>
    <w:pitch w:val="default"/>
    <w:sig w:usb0="00000000" w:usb1="00000000" w:usb2="00000010" w:usb3="00000000" w:csb0="00040000" w:csb1="00000000"/>
  </w:font>
  <w:font w:name="新宋体-18030">
    <w:altName w:val="宋体"/>
    <w:panose1 w:val="00000000000000000000"/>
    <w:charset w:val="86"/>
    <w:family w:val="modern"/>
    <w:pitch w:val="default"/>
    <w:sig w:usb0="00000000" w:usb1="00000000" w:usb2="000A005E"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4071740"/>
    </w:sdtPr>
    <w:sdtContent>
      <w:p w14:paraId="06984850">
        <w:pPr>
          <w:pStyle w:val="5"/>
          <w:jc w:val="right"/>
        </w:pPr>
        <w:r>
          <w:fldChar w:fldCharType="begin"/>
        </w:r>
        <w:r>
          <w:instrText xml:space="preserve"> PAGE   \* MERGEFORMAT </w:instrText>
        </w:r>
        <w:r>
          <w:fldChar w:fldCharType="separate"/>
        </w:r>
        <w:r>
          <w:rPr>
            <w:lang w:val="zh-CN"/>
          </w:rPr>
          <w:t>1</w:t>
        </w:r>
        <w:r>
          <w:rPr>
            <w:lang w:val="zh-CN"/>
          </w:rPr>
          <w:fldChar w:fldCharType="end"/>
        </w:r>
      </w:p>
    </w:sdtContent>
  </w:sdt>
  <w:p w14:paraId="673E6E07">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846F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6DDF2">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240106">
    <w:pPr>
      <w:pStyle w:val="5"/>
      <w:jc w:val="right"/>
    </w:pPr>
  </w:p>
  <w:p w14:paraId="707E84FF">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7B41D">
    <w:pPr>
      <w:pStyle w:val="5"/>
      <w:wordWrap w:val="0"/>
      <w:ind w:right="270" w:firstLine="420"/>
      <w:jc w:val="right"/>
    </w:pPr>
    <w:r>
      <w:fldChar w:fldCharType="begin"/>
    </w:r>
    <w:r>
      <w:instrText xml:space="preserve">PAGE   \* MERGEFORMAT</w:instrText>
    </w:r>
    <w:r>
      <w:fldChar w:fldCharType="separate"/>
    </w:r>
    <w:r>
      <w:rPr>
        <w:lang w:val="zh-CN"/>
      </w:rPr>
      <w:t>10</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1BCE9">
    <w:pPr>
      <w:pStyle w:val="5"/>
      <w:jc w:val="right"/>
    </w:pPr>
  </w:p>
  <w:p w14:paraId="4B1030E6">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88344">
    <w:pPr>
      <w:pStyle w:val="11"/>
      <w:jc w:val="center"/>
      <w:rPr>
        <w:rFonts w:cs="Times New Roman"/>
        <w:color w:val="auto"/>
      </w:rPr>
    </w:pPr>
    <w:r>
      <w:rPr>
        <w:rFonts w:ascii="Arial" w:hAnsi="Arial" w:cs="Arial"/>
      </w:rPr>
      <w:t>JJF ××××-××××</w:t>
    </w:r>
  </w:p>
  <w:p w14:paraId="4BF99EF8">
    <w:pPr>
      <w:spacing w:line="360" w:lineRule="auto"/>
      <w:ind w:firstLine="600" w:firstLineChars="200"/>
      <w:rPr>
        <w:sz w:val="30"/>
        <w:szCs w:val="30"/>
      </w:rPr>
    </w:pPr>
    <w:r>
      <w:rPr>
        <w:sz w:val="30"/>
        <w:szCs w:val="30"/>
      </w:rPr>
      <mc:AlternateContent>
        <mc:Choice Requires="wps">
          <w:drawing>
            <wp:anchor distT="0" distB="0" distL="114300" distR="114300" simplePos="0" relativeHeight="251659264" behindDoc="0" locked="0" layoutInCell="1" allowOverlap="1">
              <wp:simplePos x="0" y="0"/>
              <wp:positionH relativeFrom="column">
                <wp:posOffset>-135890</wp:posOffset>
              </wp:positionH>
              <wp:positionV relativeFrom="paragraph">
                <wp:posOffset>129540</wp:posOffset>
              </wp:positionV>
              <wp:extent cx="5707380" cy="0"/>
              <wp:effectExtent l="0" t="9525" r="7620" b="13335"/>
              <wp:wrapNone/>
              <wp:docPr id="22" name="Line 1"/>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9050">
                        <a:solidFill>
                          <a:srgbClr val="000000"/>
                        </a:solidFill>
                        <a:round/>
                      </a:ln>
                    </wps:spPr>
                    <wps:bodyPr/>
                  </wps:wsp>
                </a:graphicData>
              </a:graphic>
            </wp:anchor>
          </w:drawing>
        </mc:Choice>
        <mc:Fallback>
          <w:pict>
            <v:line id="Line 1" o:spid="_x0000_s1026" o:spt="20" style="position:absolute;left:0pt;margin-left:-10.7pt;margin-top:10.2pt;height:0pt;width:449.4pt;z-index:251659264;mso-width-relative:page;mso-height-relative:page;" filled="f" stroked="t" coordsize="21600,21600" o:gfxdata="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FQDTM1QAAAAkBAAAPAAAAAAAAAAEAIAAAACIAAABkcnMvZG93&#10;bnJldi54bWxQSwECFAAUAAAACACHTuJAwLkdBMoBAAChAwAADgAAAAAAAAABACAAAAAkAQAAZHJz&#10;L2Uyb0RvYy54bWxQSwUGAAAAAAYABgBZAQAAYAUAAAAA&#10;">
              <v:fill on="f" focussize="0,0"/>
              <v:stroke weight="1.5pt" color="#000000" joinstyle="round"/>
              <v:imagedata o:title=""/>
              <o:lock v:ext="edit" aspectratio="f"/>
            </v:line>
          </w:pict>
        </mc:Fallback>
      </mc:AlternateContent>
    </w:r>
  </w:p>
  <w:p w14:paraId="14BF771B">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3A361">
    <w:pPr>
      <w:pStyle w:val="11"/>
      <w:jc w:val="center"/>
      <w:rPr>
        <w:rFonts w:ascii="楷体_GB2312" w:eastAsia="楷体_GB2312" w:cs="Times New Roman"/>
        <w:b/>
        <w:color w:val="auto"/>
      </w:rPr>
    </w:pPr>
    <w:r>
      <w:rPr>
        <w:rFonts w:hint="eastAsia" w:ascii="楷体_GB2312" w:hAnsi="Arial" w:eastAsia="楷体_GB2312" w:cs="Arial"/>
        <w:b/>
      </w:rPr>
      <w:t>JJF ××××-××××</w:t>
    </w:r>
  </w:p>
  <w:p w14:paraId="263E0F8D">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49503">
    <w:pPr>
      <w:pStyle w:val="6"/>
      <w:pBdr>
        <w:bottom w:val="single" w:color="auto" w:sz="6" w:space="0"/>
      </w:pBdr>
      <w:rPr>
        <w:rFonts w:ascii="黑体" w:hAnsi="黑体" w:eastAsia="黑体"/>
        <w:sz w:val="21"/>
        <w:szCs w:val="21"/>
      </w:rPr>
    </w:pPr>
    <w:r>
      <w:rPr>
        <w:rFonts w:ascii="黑体" w:hAnsi="黑体" w:eastAsia="黑体"/>
        <w:sz w:val="21"/>
        <w:szCs w:val="21"/>
      </w:rPr>
      <w:t xml:space="preserve">JJF </w:t>
    </w:r>
    <w:r>
      <w:rPr>
        <w:rFonts w:hint="eastAsia" w:ascii="黑体" w:hAnsi="黑体" w:eastAsia="黑体"/>
        <w:sz w:val="21"/>
        <w:szCs w:val="21"/>
      </w:rPr>
      <w:t>××××</w:t>
    </w:r>
    <w:r>
      <w:rPr>
        <w:rFonts w:ascii="黑体" w:hAnsi="黑体" w:eastAsia="黑体"/>
        <w:sz w:val="21"/>
        <w:szCs w:val="21"/>
      </w:rPr>
      <w:t>-××××</w:t>
    </w:r>
  </w:p>
  <w:p w14:paraId="1FDF9CB9">
    <w:pPr>
      <w:pStyle w:val="6"/>
      <w:pBdr>
        <w:bottom w:val="single" w:color="auto" w:sz="6" w:space="0"/>
      </w:pBdr>
      <w:rPr>
        <w:rFonts w:ascii="黑体" w:hAnsi="黑体" w:eastAsia="黑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59B53">
    <w:pPr>
      <w:pStyle w:val="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32D5E">
    <w:pPr>
      <w:pStyle w:val="6"/>
      <w:pBdr>
        <w:bottom w:val="single" w:color="auto" w:sz="6" w:space="0"/>
      </w:pBdr>
      <w:rPr>
        <w:rFonts w:ascii="黑体" w:hAnsi="黑体" w:eastAsia="黑体"/>
        <w:sz w:val="21"/>
        <w:szCs w:val="21"/>
      </w:rPr>
    </w:pPr>
    <w:r>
      <w:rPr>
        <w:rFonts w:ascii="黑体" w:hAnsi="黑体" w:eastAsia="黑体"/>
        <w:sz w:val="21"/>
        <w:szCs w:val="21"/>
      </w:rPr>
      <w:t xml:space="preserve">JJF </w:t>
    </w:r>
    <w:r>
      <w:rPr>
        <w:rFonts w:hint="eastAsia" w:ascii="黑体" w:hAnsi="黑体" w:eastAsia="黑体"/>
        <w:sz w:val="21"/>
        <w:szCs w:val="21"/>
      </w:rPr>
      <w:t>××××</w:t>
    </w:r>
    <w:r>
      <w:rPr>
        <w:rFonts w:ascii="黑体" w:hAnsi="黑体" w:eastAsia="黑体"/>
        <w:sz w:val="21"/>
        <w:szCs w:val="21"/>
      </w:rPr>
      <w:t>-××××</w:t>
    </w:r>
  </w:p>
  <w:p w14:paraId="24704B71">
    <w:pPr>
      <w:pStyle w:val="6"/>
      <w:pBdr>
        <w:bottom w:val="single" w:color="auto" w:sz="6"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FD828FD"/>
    <w:multiLevelType w:val="multilevel"/>
    <w:tmpl w:val="2FD828FD"/>
    <w:lvl w:ilvl="0" w:tentative="0">
      <w:start w:val="1"/>
      <w:numFmt w:val="decimal"/>
      <w:pStyle w:val="1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CB33F28"/>
    <w:rsid w:val="1BA331FD"/>
    <w:rsid w:val="2047772C"/>
    <w:rsid w:val="204B2F30"/>
    <w:rsid w:val="235F2F3A"/>
    <w:rsid w:val="24F20F0E"/>
    <w:rsid w:val="25BD4D5C"/>
    <w:rsid w:val="2A7E1274"/>
    <w:rsid w:val="2D8868B3"/>
    <w:rsid w:val="32EB5DE5"/>
    <w:rsid w:val="39DD736A"/>
    <w:rsid w:val="3B1C57B7"/>
    <w:rsid w:val="40D86DEE"/>
    <w:rsid w:val="507E7B8B"/>
    <w:rsid w:val="540E1011"/>
    <w:rsid w:val="58911182"/>
    <w:rsid w:val="65F52843"/>
    <w:rsid w:val="67CD6ECD"/>
    <w:rsid w:val="6FA651AF"/>
    <w:rsid w:val="70AF5E5C"/>
    <w:rsid w:val="725B76BF"/>
    <w:rsid w:val="79AC25AE"/>
    <w:rsid w:val="7F642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caption"/>
    <w:basedOn w:val="1"/>
    <w:next w:val="1"/>
    <w:semiHidden/>
    <w:unhideWhenUsed/>
    <w:qFormat/>
    <w:uiPriority w:val="0"/>
    <w:rPr>
      <w:rFonts w:ascii="Arial" w:hAnsi="Arial" w:eastAsia="黑体"/>
      <w:sz w:val="20"/>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next w:val="1"/>
    <w:qFormat/>
    <w:uiPriority w:val="39"/>
    <w:pPr>
      <w:jc w:val="both"/>
    </w:pPr>
    <w:rPr>
      <w:rFonts w:ascii="宋体" w:hAnsi="Times New Roman" w:eastAsia="宋体" w:cs="Times New Roman"/>
      <w:sz w:val="21"/>
      <w:lang w:val="en-US" w:eastAsia="zh-CN" w:bidi="ar-SA"/>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Default"/>
    <w:qFormat/>
    <w:uiPriority w:val="0"/>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12">
    <w:name w:val="段"/>
    <w:next w:val="1"/>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paragraph" w:customStyle="1" w:styleId="13">
    <w:name w:val="前言、引言标题"/>
    <w:next w:val="1"/>
    <w:qFormat/>
    <w:uiPriority w:val="0"/>
    <w:pPr>
      <w:numPr>
        <w:ilvl w:val="0"/>
        <w:numId w:val="1"/>
      </w:numPr>
      <w:shd w:val="clear" w:color="FFFFFF" w:fill="FFFFFF"/>
      <w:spacing w:before="567" w:after="540"/>
      <w:jc w:val="center"/>
      <w:outlineLvl w:val="0"/>
    </w:pPr>
    <w:rPr>
      <w:rFonts w:ascii="黑体" w:hAnsi="Times New Roman" w:eastAsia="黑体" w:cs="Times New Roman"/>
      <w:spacing w:val="200"/>
      <w:sz w:val="32"/>
      <w:lang w:val="en-US" w:eastAsia="zh-CN" w:bidi="ar-SA"/>
    </w:rPr>
  </w:style>
  <w:style w:type="paragraph" w:styleId="14">
    <w:name w:val="List Paragraph"/>
    <w:basedOn w:val="1"/>
    <w:qFormat/>
    <w:uiPriority w:val="34"/>
    <w:pPr>
      <w:ind w:firstLine="420" w:firstLineChars="200"/>
    </w:pPr>
  </w:style>
  <w:style w:type="paragraph" w:customStyle="1" w:styleId="15">
    <w:name w:val="第一层"/>
    <w:basedOn w:val="2"/>
    <w:qFormat/>
    <w:uiPriority w:val="0"/>
    <w:pPr>
      <w:spacing w:line="360" w:lineRule="auto"/>
    </w:pPr>
    <w:rPr>
      <w:rFonts w:ascii="黑体" w:eastAsia="黑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1075</Words>
  <Characters>1414</Characters>
  <Lines>1</Lines>
  <Paragraphs>1</Paragraphs>
  <TotalTime>4</TotalTime>
  <ScaleCrop>false</ScaleCrop>
  <LinksUpToDate>false</LinksUpToDate>
  <CharactersWithSpaces>1640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2024-09-09T07:41:00Z</dcterms:created>
  <dc:creator>zhaow</dc:creator>
  <cp:lastModifiedBy>Zhao Weiqiang</cp:lastModifiedBy>
  <dcterms:modified xsi:type="dcterms:W3CDTF">2024-12-30T09:42:06Z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DDE8A00BCA0C44558B23E0A09D4D631A_12</vt:lpwstr>
  </property>
  <property fmtid="{D5CDD505-2E9C-101B-9397-08002B2CF9AE}" pid="4" name="KSOTemplateDocerSaveRecord">
    <vt:lpwstr>eyJoZGlkIjoiMzEwNTM5NzYwMDRjMzkwZTVkZjY2ODkwMGIxNGU0OTUiLCJ1c2VySWQiOiI0NTQ4NTY3NDQifQ==</vt:lpwstr>
  </property>
</Properties>
</file>